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360" w:lineRule="auto"/>
        <w:rPr>
          <w:rFonts w:ascii="仿宋_GB2312" w:hAnsi="宋体" w:eastAsia="仿宋_GB2312"/>
          <w:sz w:val="32"/>
          <w:szCs w:val="32"/>
        </w:rPr>
      </w:pPr>
    </w:p>
    <w:p>
      <w:pPr>
        <w:pStyle w:val="2"/>
        <w:spacing w:line="360" w:lineRule="auto"/>
        <w:rPr>
          <w:rFonts w:ascii="仿宋_GB2312" w:hAnsi="宋体" w:eastAsia="仿宋_GB2312"/>
          <w:sz w:val="32"/>
          <w:szCs w:val="32"/>
        </w:rPr>
      </w:pPr>
    </w:p>
    <w:p>
      <w:pPr>
        <w:pStyle w:val="2"/>
        <w:spacing w:line="360" w:lineRule="auto"/>
        <w:rPr>
          <w:rFonts w:ascii="仿宋_GB2312" w:hAnsi="宋体" w:eastAsia="仿宋_GB2312"/>
          <w:sz w:val="32"/>
          <w:szCs w:val="32"/>
        </w:rPr>
      </w:pPr>
    </w:p>
    <w:p>
      <w:pPr>
        <w:pStyle w:val="2"/>
        <w:spacing w:line="360" w:lineRule="auto"/>
        <w:rPr>
          <w:rFonts w:ascii="仿宋_GB2312" w:hAnsi="宋体" w:eastAsia="仿宋_GB2312"/>
          <w:sz w:val="32"/>
          <w:szCs w:val="32"/>
        </w:rPr>
      </w:pPr>
    </w:p>
    <w:p>
      <w:pPr>
        <w:pStyle w:val="2"/>
        <w:spacing w:line="360" w:lineRule="auto"/>
        <w:rPr>
          <w:rFonts w:ascii="仿宋_GB2312" w:hAnsi="宋体" w:eastAsia="仿宋_GB2312"/>
          <w:sz w:val="32"/>
          <w:szCs w:val="32"/>
        </w:rPr>
      </w:pPr>
    </w:p>
    <w:p>
      <w:pPr>
        <w:pStyle w:val="2"/>
        <w:spacing w:line="360" w:lineRule="auto"/>
        <w:rPr>
          <w:rFonts w:ascii="仿宋_GB2312" w:hAnsi="宋体" w:eastAsia="仿宋_GB2312"/>
          <w:sz w:val="32"/>
          <w:szCs w:val="32"/>
        </w:rPr>
      </w:pPr>
      <w:bookmarkStart w:id="0" w:name="_GoBack"/>
      <w:r>
        <w:rPr>
          <w:rFonts w:hint="eastAsia" w:ascii="仿宋_GB2312" w:hAnsi="宋体" w:eastAsia="仿宋_GB2312"/>
          <w:sz w:val="32"/>
          <w:szCs w:val="32"/>
        </w:rPr>
        <w:t>洪考院</w:t>
      </w:r>
      <w:r>
        <w:rPr>
          <w:rFonts w:hint="eastAsia" w:ascii="仿宋_GB2312" w:hAnsi="宋体" w:eastAsia="仿宋_GB2312"/>
          <w:sz w:val="32"/>
          <w:szCs w:val="32"/>
          <w:lang w:val="en-US" w:eastAsia="zh-CN"/>
        </w:rPr>
        <w:t>中</w:t>
      </w:r>
      <w:r>
        <w:rPr>
          <w:rFonts w:hint="eastAsia" w:ascii="仿宋_GB2312" w:hAnsi="宋体" w:eastAsia="仿宋_GB2312"/>
          <w:sz w:val="32"/>
          <w:szCs w:val="32"/>
        </w:rPr>
        <w:t>字〔</w:t>
      </w:r>
      <w:r>
        <w:rPr>
          <w:rFonts w:ascii="仿宋_GB2312" w:hAnsi="宋体" w:eastAsia="仿宋_GB2312"/>
          <w:sz w:val="32"/>
          <w:szCs w:val="32"/>
        </w:rPr>
        <w:t>20</w:t>
      </w:r>
      <w:r>
        <w:rPr>
          <w:rFonts w:hint="eastAsia" w:ascii="仿宋_GB2312" w:hAnsi="宋体" w:eastAsia="仿宋_GB2312"/>
          <w:sz w:val="32"/>
          <w:szCs w:val="32"/>
          <w:lang w:val="en-US" w:eastAsia="zh-CN"/>
        </w:rPr>
        <w:t>21</w:t>
      </w:r>
      <w:r>
        <w:rPr>
          <w:rFonts w:hint="eastAsia" w:ascii="仿宋_GB2312" w:hAnsi="宋体" w:eastAsia="仿宋_GB2312"/>
          <w:sz w:val="32"/>
          <w:szCs w:val="32"/>
        </w:rPr>
        <w:t>〕</w:t>
      </w:r>
      <w:r>
        <w:rPr>
          <w:rFonts w:hint="eastAsia" w:ascii="仿宋_GB2312" w:hAnsi="宋体" w:eastAsia="仿宋_GB2312"/>
          <w:sz w:val="32"/>
          <w:szCs w:val="32"/>
          <w:lang w:val="en-US" w:eastAsia="zh-CN"/>
        </w:rPr>
        <w:t xml:space="preserve">18 </w:t>
      </w:r>
      <w:r>
        <w:rPr>
          <w:rFonts w:hint="eastAsia" w:ascii="仿宋_GB2312" w:hAnsi="宋体" w:eastAsia="仿宋_GB2312"/>
          <w:sz w:val="32"/>
          <w:szCs w:val="32"/>
        </w:rPr>
        <w:t>号</w:t>
      </w:r>
    </w:p>
    <w:bookmarkEnd w:id="0"/>
    <w:p>
      <w:pPr>
        <w:pStyle w:val="2"/>
        <w:spacing w:line="360" w:lineRule="auto"/>
        <w:rPr>
          <w:rFonts w:ascii="仿宋_GB2312" w:hAnsi="宋体" w:eastAsia="仿宋_GB2312"/>
          <w:sz w:val="32"/>
          <w:szCs w:val="32"/>
        </w:rPr>
      </w:pPr>
    </w:p>
    <w:p>
      <w:pPr>
        <w:pStyle w:val="2"/>
        <w:spacing w:line="360" w:lineRule="auto"/>
        <w:rPr>
          <w:rFonts w:ascii="仿宋_GB2312" w:hAnsi="宋体" w:eastAsia="仿宋_GB2312"/>
          <w:sz w:val="32"/>
          <w:szCs w:val="32"/>
        </w:rPr>
      </w:pPr>
    </w:p>
    <w:p>
      <w:pPr>
        <w:jc w:val="center"/>
        <w:rPr>
          <w:rFonts w:hint="eastAsia" w:ascii="宋体" w:hAnsi="宋体"/>
          <w:b/>
          <w:bCs/>
          <w:spacing w:val="6"/>
          <w:sz w:val="44"/>
          <w:szCs w:val="44"/>
        </w:rPr>
      </w:pPr>
      <w:r>
        <w:rPr>
          <w:rFonts w:hint="eastAsia" w:ascii="宋体" w:hAnsi="宋体"/>
          <w:b/>
          <w:bCs/>
          <w:spacing w:val="6"/>
          <w:sz w:val="44"/>
          <w:szCs w:val="44"/>
        </w:rPr>
        <w:t>关于做好南昌市20</w:t>
      </w:r>
      <w:r>
        <w:rPr>
          <w:rFonts w:hint="eastAsia" w:ascii="宋体" w:hAnsi="宋体"/>
          <w:b/>
          <w:bCs/>
          <w:spacing w:val="6"/>
          <w:sz w:val="44"/>
          <w:szCs w:val="44"/>
          <w:lang w:val="en-US" w:eastAsia="zh-CN"/>
        </w:rPr>
        <w:t>21</w:t>
      </w:r>
      <w:r>
        <w:rPr>
          <w:rFonts w:hint="eastAsia" w:ascii="宋体" w:hAnsi="宋体"/>
          <w:b/>
          <w:bCs/>
          <w:spacing w:val="6"/>
          <w:sz w:val="44"/>
          <w:szCs w:val="44"/>
        </w:rPr>
        <w:t>年</w:t>
      </w:r>
      <w:r>
        <w:rPr>
          <w:rFonts w:hint="eastAsia" w:ascii="宋体" w:hAnsi="宋体"/>
          <w:b/>
          <w:bCs/>
          <w:spacing w:val="6"/>
          <w:sz w:val="44"/>
          <w:szCs w:val="44"/>
          <w:lang w:val="en-US" w:eastAsia="zh-CN"/>
        </w:rPr>
        <w:t>初中学业水平</w:t>
      </w:r>
      <w:r>
        <w:rPr>
          <w:rFonts w:hint="eastAsia" w:ascii="宋体" w:hAnsi="宋体"/>
          <w:b/>
          <w:bCs/>
          <w:spacing w:val="6"/>
          <w:sz w:val="44"/>
          <w:szCs w:val="44"/>
        </w:rPr>
        <w:t>考试</w:t>
      </w:r>
    </w:p>
    <w:p>
      <w:pPr>
        <w:jc w:val="center"/>
        <w:rPr>
          <w:rFonts w:hint="eastAsia" w:ascii="宋体" w:hAnsi="宋体"/>
          <w:b/>
          <w:bCs/>
          <w:spacing w:val="6"/>
          <w:sz w:val="44"/>
          <w:szCs w:val="44"/>
        </w:rPr>
      </w:pPr>
      <w:r>
        <w:rPr>
          <w:rFonts w:hint="eastAsia" w:ascii="宋体" w:hAnsi="宋体"/>
          <w:b/>
          <w:bCs/>
          <w:spacing w:val="6"/>
          <w:sz w:val="44"/>
          <w:szCs w:val="44"/>
        </w:rPr>
        <w:t>外语听力考试设备复查工作的通知</w:t>
      </w:r>
    </w:p>
    <w:p>
      <w:pPr>
        <w:jc w:val="center"/>
        <w:rPr>
          <w:rFonts w:hint="eastAsia" w:ascii="宋体" w:hAnsi="宋体" w:cs="宋体"/>
          <w:b/>
          <w:sz w:val="44"/>
          <w:szCs w:val="44"/>
        </w:rPr>
      </w:pPr>
    </w:p>
    <w:p>
      <w:pPr>
        <w:keepNext w:val="0"/>
        <w:keepLines w:val="0"/>
        <w:pageBreakBefore w:val="0"/>
        <w:widowControl w:val="0"/>
        <w:kinsoku/>
        <w:wordWrap/>
        <w:overflowPunct/>
        <w:topLinePunct w:val="0"/>
        <w:bidi w:val="0"/>
        <w:snapToGrid/>
        <w:spacing w:line="580" w:lineRule="exact"/>
        <w:ind w:right="105" w:rightChars="50"/>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rPr>
        <w:t>各县（区）教</w:t>
      </w:r>
      <w:r>
        <w:rPr>
          <w:rFonts w:hint="eastAsia" w:ascii="仿宋" w:hAnsi="仿宋" w:eastAsia="仿宋" w:cs="仿宋"/>
          <w:color w:val="auto"/>
          <w:sz w:val="32"/>
          <w:szCs w:val="32"/>
          <w:lang w:val="en-US" w:eastAsia="zh-CN"/>
        </w:rPr>
        <w:t>科</w:t>
      </w:r>
      <w:r>
        <w:rPr>
          <w:rFonts w:hint="eastAsia" w:ascii="仿宋" w:hAnsi="仿宋" w:eastAsia="仿宋" w:cs="仿宋"/>
          <w:color w:val="auto"/>
          <w:sz w:val="32"/>
          <w:szCs w:val="32"/>
        </w:rPr>
        <w:t>体局</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开发区</w:t>
      </w:r>
      <w:r>
        <w:rPr>
          <w:rFonts w:hint="eastAsia" w:ascii="仿宋" w:hAnsi="仿宋" w:eastAsia="仿宋" w:cs="仿宋"/>
          <w:color w:val="auto"/>
          <w:sz w:val="32"/>
          <w:szCs w:val="32"/>
          <w:lang w:val="en-US" w:eastAsia="zh-CN"/>
        </w:rPr>
        <w:t>教办</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中心</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湾里管理局教科体办，</w:t>
      </w:r>
      <w:r>
        <w:rPr>
          <w:rFonts w:hint="eastAsia" w:ascii="仿宋" w:hAnsi="仿宋" w:eastAsia="仿宋" w:cs="仿宋"/>
          <w:color w:val="auto"/>
          <w:sz w:val="32"/>
          <w:szCs w:val="32"/>
        </w:rPr>
        <w:t>市区考区，</w:t>
      </w:r>
      <w:r>
        <w:rPr>
          <w:rFonts w:hint="eastAsia" w:ascii="仿宋" w:hAnsi="仿宋" w:eastAsia="仿宋" w:cs="仿宋"/>
          <w:color w:val="auto"/>
          <w:sz w:val="32"/>
          <w:szCs w:val="32"/>
          <w:lang w:val="en-US" w:eastAsia="zh-CN"/>
        </w:rPr>
        <w:t>考点：</w:t>
      </w:r>
    </w:p>
    <w:p>
      <w:pPr>
        <w:keepNext w:val="0"/>
        <w:keepLines w:val="0"/>
        <w:pageBreakBefore w:val="0"/>
        <w:widowControl w:val="0"/>
        <w:kinsoku/>
        <w:wordWrap/>
        <w:overflowPunct/>
        <w:topLinePunct w:val="0"/>
        <w:bidi w:val="0"/>
        <w:snapToGrid/>
        <w:spacing w:line="580" w:lineRule="exact"/>
        <w:ind w:left="105" w:leftChars="50" w:right="105" w:rightChars="50" w:firstLine="616" w:firstLineChars="200"/>
        <w:textAlignment w:val="auto"/>
        <w:outlineLvl w:val="9"/>
        <w:rPr>
          <w:rFonts w:hint="eastAsia" w:ascii="仿宋" w:hAnsi="仿宋" w:eastAsia="仿宋" w:cs="仿宋"/>
          <w:spacing w:val="-6"/>
          <w:sz w:val="32"/>
          <w:szCs w:val="32"/>
        </w:rPr>
      </w:pPr>
      <w:r>
        <w:rPr>
          <w:rFonts w:hint="eastAsia" w:ascii="仿宋" w:hAnsi="仿宋" w:eastAsia="仿宋" w:cs="仿宋"/>
          <w:spacing w:val="-6"/>
          <w:sz w:val="32"/>
          <w:szCs w:val="32"/>
        </w:rPr>
        <w:t>为进一步做好今年的</w:t>
      </w:r>
      <w:r>
        <w:rPr>
          <w:rFonts w:hint="eastAsia" w:ascii="仿宋" w:hAnsi="仿宋" w:eastAsia="仿宋" w:cs="仿宋"/>
          <w:spacing w:val="-6"/>
          <w:sz w:val="32"/>
          <w:szCs w:val="32"/>
          <w:lang w:val="en-US" w:eastAsia="zh-CN"/>
        </w:rPr>
        <w:t>初中学业水平</w:t>
      </w:r>
      <w:r>
        <w:rPr>
          <w:rFonts w:hint="eastAsia" w:ascii="仿宋" w:hAnsi="仿宋" w:eastAsia="仿宋" w:cs="仿宋"/>
          <w:spacing w:val="-6"/>
          <w:sz w:val="32"/>
          <w:szCs w:val="32"/>
        </w:rPr>
        <w:t>考试（以下简称“</w:t>
      </w:r>
      <w:r>
        <w:rPr>
          <w:rFonts w:hint="eastAsia" w:ascii="仿宋" w:hAnsi="仿宋" w:eastAsia="仿宋" w:cs="仿宋"/>
          <w:spacing w:val="-6"/>
          <w:sz w:val="32"/>
          <w:szCs w:val="32"/>
          <w:lang w:val="en-US" w:eastAsia="zh-CN"/>
        </w:rPr>
        <w:t>学</w:t>
      </w:r>
      <w:r>
        <w:rPr>
          <w:rFonts w:hint="eastAsia" w:ascii="仿宋" w:hAnsi="仿宋" w:eastAsia="仿宋" w:cs="仿宋"/>
          <w:spacing w:val="-6"/>
          <w:sz w:val="32"/>
          <w:szCs w:val="32"/>
        </w:rPr>
        <w:t>考”）外语听力考试工作，确保</w:t>
      </w:r>
      <w:r>
        <w:rPr>
          <w:rFonts w:hint="eastAsia" w:ascii="仿宋" w:hAnsi="仿宋" w:eastAsia="仿宋" w:cs="仿宋"/>
          <w:spacing w:val="-6"/>
          <w:sz w:val="32"/>
          <w:szCs w:val="32"/>
          <w:lang w:val="en-US" w:eastAsia="zh-CN"/>
        </w:rPr>
        <w:t>学</w:t>
      </w:r>
      <w:r>
        <w:rPr>
          <w:rFonts w:hint="eastAsia" w:ascii="仿宋" w:hAnsi="仿宋" w:eastAsia="仿宋" w:cs="仿宋"/>
          <w:spacing w:val="-6"/>
          <w:sz w:val="32"/>
          <w:szCs w:val="32"/>
        </w:rPr>
        <w:t>考工作顺利进行，现将外语听力设备复查工作通知如下：</w:t>
      </w:r>
    </w:p>
    <w:p>
      <w:pPr>
        <w:keepNext w:val="0"/>
        <w:keepLines w:val="0"/>
        <w:pageBreakBefore w:val="0"/>
        <w:widowControl w:val="0"/>
        <w:kinsoku/>
        <w:wordWrap/>
        <w:overflowPunct/>
        <w:topLinePunct w:val="0"/>
        <w:bidi w:val="0"/>
        <w:snapToGrid/>
        <w:spacing w:line="580" w:lineRule="exact"/>
        <w:ind w:left="105" w:leftChars="50" w:right="105" w:rightChars="50" w:firstLine="640" w:firstLineChars="200"/>
        <w:textAlignment w:val="auto"/>
        <w:outlineLvl w:val="9"/>
        <w:rPr>
          <w:rFonts w:hint="eastAsia" w:ascii="仿宋" w:hAnsi="仿宋" w:eastAsia="仿宋" w:cs="仿宋"/>
          <w:sz w:val="32"/>
          <w:szCs w:val="32"/>
        </w:rPr>
      </w:pPr>
      <w:r>
        <w:rPr>
          <w:rFonts w:hint="eastAsia" w:ascii="仿宋" w:hAnsi="仿宋" w:eastAsia="仿宋" w:cs="仿宋"/>
          <w:sz w:val="32"/>
          <w:szCs w:val="32"/>
        </w:rPr>
        <w:t>一、</w:t>
      </w:r>
      <w:r>
        <w:rPr>
          <w:rFonts w:hint="eastAsia" w:ascii="仿宋" w:hAnsi="仿宋" w:eastAsia="仿宋" w:cs="仿宋"/>
          <w:color w:val="auto"/>
          <w:sz w:val="32"/>
          <w:szCs w:val="32"/>
        </w:rPr>
        <w:t>各县（区）教</w:t>
      </w:r>
      <w:r>
        <w:rPr>
          <w:rFonts w:hint="eastAsia" w:ascii="仿宋" w:hAnsi="仿宋" w:eastAsia="仿宋" w:cs="仿宋"/>
          <w:color w:val="auto"/>
          <w:sz w:val="32"/>
          <w:szCs w:val="32"/>
          <w:lang w:val="en-US" w:eastAsia="zh-CN"/>
        </w:rPr>
        <w:t>科</w:t>
      </w:r>
      <w:r>
        <w:rPr>
          <w:rFonts w:hint="eastAsia" w:ascii="仿宋" w:hAnsi="仿宋" w:eastAsia="仿宋" w:cs="仿宋"/>
          <w:color w:val="auto"/>
          <w:sz w:val="32"/>
          <w:szCs w:val="32"/>
        </w:rPr>
        <w:t>体局</w:t>
      </w:r>
      <w:r>
        <w:rPr>
          <w:rFonts w:hint="eastAsia" w:ascii="仿宋" w:hAnsi="仿宋" w:eastAsia="仿宋" w:cs="仿宋"/>
          <w:sz w:val="32"/>
          <w:szCs w:val="32"/>
        </w:rPr>
        <w:t>、</w:t>
      </w:r>
      <w:r>
        <w:rPr>
          <w:rFonts w:hint="eastAsia" w:ascii="仿宋" w:hAnsi="仿宋" w:eastAsia="仿宋" w:cs="仿宋"/>
          <w:color w:val="auto"/>
          <w:sz w:val="32"/>
          <w:szCs w:val="32"/>
        </w:rPr>
        <w:t>开发区</w:t>
      </w:r>
      <w:r>
        <w:rPr>
          <w:rFonts w:hint="eastAsia" w:ascii="仿宋" w:hAnsi="仿宋" w:eastAsia="仿宋" w:cs="仿宋"/>
          <w:color w:val="auto"/>
          <w:sz w:val="32"/>
          <w:szCs w:val="32"/>
          <w:lang w:val="en-US" w:eastAsia="zh-CN"/>
        </w:rPr>
        <w:t>教办</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中心</w:t>
      </w:r>
      <w:r>
        <w:rPr>
          <w:rFonts w:hint="eastAsia" w:ascii="仿宋" w:hAnsi="仿宋" w:eastAsia="仿宋" w:cs="仿宋"/>
          <w:color w:val="auto"/>
          <w:sz w:val="32"/>
          <w:szCs w:val="32"/>
        </w:rPr>
        <w:t>）</w:t>
      </w:r>
      <w:r>
        <w:rPr>
          <w:rFonts w:hint="eastAsia" w:ascii="仿宋" w:hAnsi="仿宋" w:eastAsia="仿宋" w:cs="仿宋"/>
          <w:sz w:val="32"/>
          <w:szCs w:val="32"/>
        </w:rPr>
        <w:t>、</w:t>
      </w:r>
      <w:r>
        <w:rPr>
          <w:rFonts w:hint="eastAsia" w:ascii="仿宋" w:hAnsi="仿宋" w:eastAsia="仿宋" w:cs="仿宋"/>
          <w:color w:val="auto"/>
          <w:sz w:val="32"/>
          <w:szCs w:val="32"/>
          <w:lang w:val="en-US" w:eastAsia="zh-CN"/>
        </w:rPr>
        <w:t>湾里管理局教科体办</w:t>
      </w:r>
      <w:r>
        <w:rPr>
          <w:rFonts w:hint="eastAsia" w:ascii="仿宋" w:hAnsi="仿宋" w:eastAsia="仿宋" w:cs="仿宋"/>
          <w:sz w:val="32"/>
          <w:szCs w:val="32"/>
          <w:lang w:val="en-US" w:eastAsia="zh-CN"/>
        </w:rPr>
        <w:t>和市区</w:t>
      </w:r>
      <w:r>
        <w:rPr>
          <w:rFonts w:hint="eastAsia" w:ascii="仿宋" w:hAnsi="仿宋" w:eastAsia="仿宋" w:cs="仿宋"/>
          <w:sz w:val="32"/>
          <w:szCs w:val="32"/>
        </w:rPr>
        <w:t>考区</w:t>
      </w:r>
      <w:r>
        <w:rPr>
          <w:rFonts w:hint="eastAsia" w:ascii="仿宋" w:hAnsi="仿宋" w:eastAsia="仿宋" w:cs="仿宋"/>
          <w:sz w:val="32"/>
          <w:szCs w:val="32"/>
          <w:lang w:val="en-US" w:eastAsia="zh-CN"/>
        </w:rPr>
        <w:t>要</w:t>
      </w:r>
      <w:r>
        <w:rPr>
          <w:rFonts w:hint="eastAsia" w:ascii="仿宋" w:hAnsi="仿宋" w:eastAsia="仿宋" w:cs="仿宋"/>
          <w:sz w:val="32"/>
          <w:szCs w:val="32"/>
        </w:rPr>
        <w:t>对前期</w:t>
      </w:r>
      <w:r>
        <w:rPr>
          <w:rFonts w:hint="eastAsia" w:ascii="仿宋" w:hAnsi="仿宋" w:eastAsia="仿宋" w:cs="仿宋"/>
          <w:sz w:val="32"/>
          <w:szCs w:val="32"/>
          <w:lang w:val="en-US" w:eastAsia="zh-CN"/>
        </w:rPr>
        <w:t>学</w:t>
      </w:r>
      <w:r>
        <w:rPr>
          <w:rFonts w:hint="eastAsia" w:ascii="仿宋" w:hAnsi="仿宋" w:eastAsia="仿宋" w:cs="仿宋"/>
          <w:sz w:val="32"/>
          <w:szCs w:val="32"/>
        </w:rPr>
        <w:t>考外语听力设备（包括备用设备）、线路检查有问题</w:t>
      </w:r>
      <w:r>
        <w:rPr>
          <w:rFonts w:hint="eastAsia" w:ascii="仿宋" w:hAnsi="仿宋" w:eastAsia="仿宋" w:cs="仿宋"/>
          <w:color w:val="auto"/>
          <w:sz w:val="32"/>
          <w:szCs w:val="32"/>
          <w:lang w:val="en-US" w:eastAsia="zh-CN"/>
        </w:rPr>
        <w:t>和经国网南昌供电公司针对电力设备开展用电安全隐患排查发现问题送达书面隐患通知书</w:t>
      </w:r>
      <w:r>
        <w:rPr>
          <w:rFonts w:hint="eastAsia" w:ascii="仿宋" w:hAnsi="仿宋" w:eastAsia="仿宋" w:cs="仿宋"/>
          <w:sz w:val="32"/>
          <w:szCs w:val="32"/>
        </w:rPr>
        <w:t>的考点要下达整改通知书。县区考区一是要将整改通知书报南昌市教育考试院存档备查，二是要督促所属考点限时</w:t>
      </w:r>
      <w:r>
        <w:rPr>
          <w:rFonts w:hint="eastAsia" w:ascii="仿宋" w:hAnsi="仿宋" w:eastAsia="仿宋" w:cs="仿宋"/>
          <w:sz w:val="32"/>
          <w:szCs w:val="32"/>
          <w:lang w:val="en-US" w:eastAsia="zh-CN"/>
        </w:rPr>
        <w:t>按照听力考试</w:t>
      </w:r>
      <w:r>
        <w:rPr>
          <w:rFonts w:hint="eastAsia" w:ascii="仿宋" w:hAnsi="仿宋" w:eastAsia="仿宋" w:cs="仿宋"/>
          <w:color w:val="auto"/>
          <w:sz w:val="32"/>
          <w:szCs w:val="32"/>
          <w:lang w:val="en-US" w:eastAsia="zh-CN"/>
        </w:rPr>
        <w:t>和电力设备保障</w:t>
      </w:r>
      <w:r>
        <w:rPr>
          <w:rFonts w:hint="eastAsia" w:ascii="仿宋" w:hAnsi="仿宋" w:eastAsia="仿宋" w:cs="仿宋"/>
          <w:sz w:val="32"/>
          <w:szCs w:val="32"/>
          <w:lang w:val="en-US" w:eastAsia="zh-CN"/>
        </w:rPr>
        <w:t>要求</w:t>
      </w:r>
      <w:r>
        <w:rPr>
          <w:rFonts w:hint="eastAsia" w:ascii="仿宋" w:hAnsi="仿宋" w:eastAsia="仿宋" w:cs="仿宋"/>
          <w:sz w:val="32"/>
          <w:szCs w:val="32"/>
        </w:rPr>
        <w:t>整改到位。</w:t>
      </w:r>
    </w:p>
    <w:p>
      <w:pPr>
        <w:keepNext w:val="0"/>
        <w:keepLines w:val="0"/>
        <w:pageBreakBefore w:val="0"/>
        <w:widowControl w:val="0"/>
        <w:kinsoku/>
        <w:wordWrap/>
        <w:overflowPunct/>
        <w:topLinePunct w:val="0"/>
        <w:autoSpaceDE w:val="0"/>
        <w:autoSpaceDN w:val="0"/>
        <w:bidi w:val="0"/>
        <w:adjustRightInd w:val="0"/>
        <w:snapToGrid/>
        <w:spacing w:line="580" w:lineRule="exact"/>
        <w:ind w:left="105" w:leftChars="50" w:right="105" w:rightChars="50" w:firstLine="640" w:firstLineChars="200"/>
        <w:textAlignment w:val="auto"/>
        <w:outlineLvl w:val="9"/>
        <w:rPr>
          <w:rFonts w:hint="eastAsia" w:ascii="仿宋" w:hAnsi="仿宋" w:eastAsia="仿宋" w:cs="仿宋"/>
          <w:sz w:val="32"/>
          <w:szCs w:val="32"/>
        </w:rPr>
      </w:pPr>
      <w:r>
        <w:rPr>
          <w:rFonts w:hint="eastAsia" w:ascii="仿宋" w:hAnsi="仿宋" w:eastAsia="仿宋" w:cs="仿宋"/>
          <w:sz w:val="32"/>
          <w:szCs w:val="32"/>
        </w:rPr>
        <w:t>二、</w:t>
      </w:r>
      <w:r>
        <w:rPr>
          <w:rFonts w:hint="eastAsia" w:ascii="仿宋" w:hAnsi="仿宋" w:eastAsia="仿宋" w:cs="仿宋"/>
          <w:color w:val="auto"/>
          <w:sz w:val="32"/>
          <w:szCs w:val="32"/>
        </w:rPr>
        <w:t>各县（区）教</w:t>
      </w:r>
      <w:r>
        <w:rPr>
          <w:rFonts w:hint="eastAsia" w:ascii="仿宋" w:hAnsi="仿宋" w:eastAsia="仿宋" w:cs="仿宋"/>
          <w:color w:val="auto"/>
          <w:sz w:val="32"/>
          <w:szCs w:val="32"/>
          <w:lang w:val="en-US" w:eastAsia="zh-CN"/>
        </w:rPr>
        <w:t>科</w:t>
      </w:r>
      <w:r>
        <w:rPr>
          <w:rFonts w:hint="eastAsia" w:ascii="仿宋" w:hAnsi="仿宋" w:eastAsia="仿宋" w:cs="仿宋"/>
          <w:color w:val="auto"/>
          <w:sz w:val="32"/>
          <w:szCs w:val="32"/>
        </w:rPr>
        <w:t>体局</w:t>
      </w:r>
      <w:r>
        <w:rPr>
          <w:rFonts w:hint="eastAsia" w:ascii="仿宋" w:hAnsi="仿宋" w:eastAsia="仿宋" w:cs="仿宋"/>
          <w:sz w:val="32"/>
          <w:szCs w:val="32"/>
        </w:rPr>
        <w:t>、</w:t>
      </w:r>
      <w:r>
        <w:rPr>
          <w:rFonts w:hint="eastAsia" w:ascii="仿宋" w:hAnsi="仿宋" w:eastAsia="仿宋" w:cs="仿宋"/>
          <w:color w:val="auto"/>
          <w:sz w:val="32"/>
          <w:szCs w:val="32"/>
        </w:rPr>
        <w:t>开发区</w:t>
      </w:r>
      <w:r>
        <w:rPr>
          <w:rFonts w:hint="eastAsia" w:ascii="仿宋" w:hAnsi="仿宋" w:eastAsia="仿宋" w:cs="仿宋"/>
          <w:color w:val="auto"/>
          <w:sz w:val="32"/>
          <w:szCs w:val="32"/>
          <w:lang w:val="en-US" w:eastAsia="zh-CN"/>
        </w:rPr>
        <w:t>教办</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中心</w:t>
      </w:r>
      <w:r>
        <w:rPr>
          <w:rFonts w:hint="eastAsia" w:ascii="仿宋" w:hAnsi="仿宋" w:eastAsia="仿宋" w:cs="仿宋"/>
          <w:color w:val="auto"/>
          <w:sz w:val="32"/>
          <w:szCs w:val="32"/>
        </w:rPr>
        <w:t>）</w:t>
      </w:r>
      <w:r>
        <w:rPr>
          <w:rFonts w:hint="eastAsia" w:ascii="仿宋" w:hAnsi="仿宋" w:eastAsia="仿宋" w:cs="仿宋"/>
          <w:sz w:val="32"/>
          <w:szCs w:val="32"/>
        </w:rPr>
        <w:t>、</w:t>
      </w:r>
      <w:r>
        <w:rPr>
          <w:rFonts w:hint="eastAsia" w:ascii="仿宋" w:hAnsi="仿宋" w:eastAsia="仿宋" w:cs="仿宋"/>
          <w:color w:val="auto"/>
          <w:sz w:val="32"/>
          <w:szCs w:val="32"/>
          <w:lang w:val="en-US" w:eastAsia="zh-CN"/>
        </w:rPr>
        <w:t>湾里管理局教科体办</w:t>
      </w:r>
      <w:r>
        <w:rPr>
          <w:rFonts w:hint="eastAsia" w:ascii="仿宋" w:hAnsi="仿宋" w:eastAsia="仿宋" w:cs="仿宋"/>
          <w:sz w:val="32"/>
          <w:szCs w:val="32"/>
          <w:lang w:val="en-US" w:eastAsia="zh-CN"/>
        </w:rPr>
        <w:t>和市区</w:t>
      </w:r>
      <w:r>
        <w:rPr>
          <w:rFonts w:hint="eastAsia" w:ascii="仿宋" w:hAnsi="仿宋" w:eastAsia="仿宋" w:cs="仿宋"/>
          <w:sz w:val="32"/>
          <w:szCs w:val="32"/>
        </w:rPr>
        <w:t>考区要组织</w:t>
      </w:r>
      <w:r>
        <w:rPr>
          <w:rFonts w:hint="eastAsia" w:ascii="仿宋" w:hAnsi="仿宋" w:eastAsia="仿宋" w:cs="仿宋"/>
          <w:sz w:val="32"/>
          <w:szCs w:val="32"/>
          <w:lang w:val="en-US" w:eastAsia="zh-CN"/>
        </w:rPr>
        <w:t>考</w:t>
      </w:r>
      <w:r>
        <w:rPr>
          <w:rFonts w:hint="eastAsia" w:ascii="仿宋" w:hAnsi="仿宋" w:eastAsia="仿宋" w:cs="仿宋"/>
          <w:sz w:val="32"/>
          <w:szCs w:val="32"/>
        </w:rPr>
        <w:t>区内各考点学校于开考前对</w:t>
      </w:r>
      <w:r>
        <w:rPr>
          <w:rFonts w:hint="eastAsia" w:ascii="仿宋" w:hAnsi="仿宋" w:eastAsia="仿宋" w:cs="仿宋"/>
          <w:sz w:val="32"/>
          <w:szCs w:val="32"/>
          <w:lang w:val="en-US" w:eastAsia="zh-CN"/>
        </w:rPr>
        <w:t>学</w:t>
      </w:r>
      <w:r>
        <w:rPr>
          <w:rFonts w:hint="eastAsia" w:ascii="仿宋" w:hAnsi="仿宋" w:eastAsia="仿宋" w:cs="仿宋"/>
          <w:sz w:val="32"/>
          <w:szCs w:val="32"/>
        </w:rPr>
        <w:t>考外语听力设备（包括备用设备）、线路进行再次复查，并于</w:t>
      </w:r>
      <w:r>
        <w:rPr>
          <w:rFonts w:hint="eastAsia" w:ascii="仿宋" w:hAnsi="仿宋" w:eastAsia="仿宋" w:cs="仿宋"/>
          <w:sz w:val="32"/>
          <w:szCs w:val="32"/>
          <w:lang w:val="en-US" w:eastAsia="zh-CN"/>
        </w:rPr>
        <w:t>6</w:t>
      </w:r>
      <w:r>
        <w:rPr>
          <w:rFonts w:hint="eastAsia" w:ascii="仿宋" w:hAnsi="仿宋" w:eastAsia="仿宋"/>
          <w:sz w:val="32"/>
          <w:szCs w:val="32"/>
        </w:rPr>
        <w:t>月15日前</w:t>
      </w:r>
      <w:r>
        <w:rPr>
          <w:rFonts w:hint="eastAsia" w:ascii="仿宋" w:hAnsi="仿宋" w:eastAsia="仿宋"/>
          <w:sz w:val="32"/>
          <w:szCs w:val="32"/>
          <w:lang w:val="en-US" w:eastAsia="zh-CN"/>
        </w:rPr>
        <w:t>按</w:t>
      </w:r>
      <w:r>
        <w:rPr>
          <w:rFonts w:hint="eastAsia" w:ascii="仿宋" w:hAnsi="仿宋" w:eastAsia="仿宋" w:cs="仿宋"/>
          <w:sz w:val="32"/>
          <w:szCs w:val="32"/>
        </w:rPr>
        <w:t>复查结果</w:t>
      </w:r>
      <w:r>
        <w:rPr>
          <w:rFonts w:hint="eastAsia" w:ascii="仿宋" w:hAnsi="仿宋" w:eastAsia="仿宋" w:cs="仿宋"/>
          <w:sz w:val="32"/>
          <w:szCs w:val="32"/>
          <w:lang w:val="en-US" w:eastAsia="zh-CN"/>
        </w:rPr>
        <w:t>填报</w:t>
      </w:r>
      <w:r>
        <w:rPr>
          <w:rFonts w:hint="eastAsia" w:ascii="仿宋" w:hAnsi="仿宋" w:eastAsia="仿宋" w:cs="仿宋"/>
          <w:sz w:val="32"/>
          <w:szCs w:val="32"/>
        </w:rPr>
        <w:t>《南昌市20</w:t>
      </w:r>
      <w:r>
        <w:rPr>
          <w:rFonts w:hint="eastAsia" w:ascii="仿宋" w:hAnsi="仿宋" w:eastAsia="仿宋" w:cs="仿宋"/>
          <w:sz w:val="32"/>
          <w:szCs w:val="32"/>
          <w:lang w:val="en-US" w:eastAsia="zh-CN"/>
        </w:rPr>
        <w:t>21</w:t>
      </w:r>
      <w:r>
        <w:rPr>
          <w:rFonts w:hint="eastAsia" w:ascii="仿宋" w:hAnsi="仿宋" w:eastAsia="仿宋" w:cs="仿宋"/>
          <w:sz w:val="32"/>
          <w:szCs w:val="32"/>
        </w:rPr>
        <w:t>年</w:t>
      </w:r>
      <w:r>
        <w:rPr>
          <w:rFonts w:hint="eastAsia" w:ascii="仿宋" w:hAnsi="仿宋" w:eastAsia="仿宋" w:cs="仿宋"/>
          <w:sz w:val="32"/>
          <w:szCs w:val="32"/>
          <w:lang w:val="en-US" w:eastAsia="zh-CN"/>
        </w:rPr>
        <w:t>初中学业水平</w:t>
      </w:r>
      <w:r>
        <w:rPr>
          <w:rFonts w:hint="eastAsia" w:ascii="仿宋" w:hAnsi="仿宋" w:eastAsia="仿宋" w:cs="仿宋"/>
          <w:sz w:val="32"/>
          <w:szCs w:val="32"/>
        </w:rPr>
        <w:t>考试外语听力设备检测复查情况登记表》</w:t>
      </w:r>
      <w:r>
        <w:rPr>
          <w:rFonts w:hint="eastAsia" w:ascii="仿宋" w:hAnsi="仿宋" w:eastAsia="仿宋" w:cs="仿宋"/>
          <w:sz w:val="32"/>
          <w:szCs w:val="32"/>
          <w:lang w:val="en-US" w:eastAsia="zh-CN"/>
        </w:rPr>
        <w:t>上传</w:t>
      </w:r>
      <w:r>
        <w:rPr>
          <w:rFonts w:hint="eastAsia" w:ascii="仿宋" w:hAnsi="仿宋" w:eastAsia="仿宋" w:cs="仿宋"/>
          <w:sz w:val="32"/>
          <w:szCs w:val="32"/>
        </w:rPr>
        <w:t>至市教育考试院</w:t>
      </w:r>
      <w:r>
        <w:rPr>
          <w:rFonts w:hint="eastAsia" w:ascii="仿宋" w:hAnsi="仿宋" w:eastAsia="仿宋" w:cs="仿宋"/>
          <w:sz w:val="32"/>
          <w:szCs w:val="32"/>
          <w:lang w:val="en-US" w:eastAsia="zh-CN"/>
        </w:rPr>
        <w:t>中招信息管理服务平台</w:t>
      </w:r>
      <w:r>
        <w:rPr>
          <w:rFonts w:hint="eastAsia" w:ascii="仿宋" w:hAnsi="仿宋" w:eastAsia="仿宋" w:cs="仿宋"/>
          <w:sz w:val="32"/>
          <w:szCs w:val="32"/>
        </w:rPr>
        <w:t>。</w:t>
      </w:r>
    </w:p>
    <w:p>
      <w:pPr>
        <w:keepNext w:val="0"/>
        <w:keepLines w:val="0"/>
        <w:pageBreakBefore w:val="0"/>
        <w:widowControl w:val="0"/>
        <w:kinsoku/>
        <w:wordWrap/>
        <w:overflowPunct/>
        <w:topLinePunct w:val="0"/>
        <w:bidi w:val="0"/>
        <w:snapToGrid/>
        <w:spacing w:line="580" w:lineRule="exact"/>
        <w:ind w:left="105" w:leftChars="50" w:right="105" w:rightChars="50" w:firstLine="640" w:firstLineChars="200"/>
        <w:textAlignment w:val="auto"/>
        <w:outlineLvl w:val="9"/>
        <w:rPr>
          <w:rFonts w:hint="eastAsia" w:ascii="仿宋" w:hAnsi="仿宋" w:eastAsia="仿宋" w:cs="仿宋"/>
          <w:spacing w:val="-14"/>
          <w:sz w:val="32"/>
          <w:szCs w:val="32"/>
        </w:rPr>
      </w:pPr>
      <w:r>
        <w:rPr>
          <w:rFonts w:hint="eastAsia" w:ascii="仿宋" w:hAnsi="仿宋" w:eastAsia="仿宋" w:cs="仿宋"/>
          <w:sz w:val="32"/>
          <w:szCs w:val="32"/>
        </w:rPr>
        <w:t>三、各考点在</w:t>
      </w:r>
      <w:r>
        <w:rPr>
          <w:rFonts w:hint="eastAsia" w:ascii="仿宋" w:hAnsi="仿宋" w:eastAsia="仿宋" w:cs="仿宋"/>
          <w:sz w:val="32"/>
          <w:szCs w:val="32"/>
          <w:lang w:val="en-US" w:eastAsia="zh-CN"/>
        </w:rPr>
        <w:t>6</w:t>
      </w:r>
      <w:r>
        <w:rPr>
          <w:rFonts w:hint="eastAsia" w:ascii="仿宋" w:hAnsi="仿宋" w:eastAsia="仿宋" w:cs="仿宋"/>
          <w:sz w:val="32"/>
          <w:szCs w:val="32"/>
        </w:rPr>
        <w:t>月16日下午开放考场时再次试听，并将试听情况通过《南昌市</w:t>
      </w:r>
      <w:r>
        <w:rPr>
          <w:rFonts w:hint="eastAsia" w:ascii="仿宋" w:hAnsi="仿宋" w:eastAsia="仿宋" w:cs="仿宋"/>
          <w:sz w:val="32"/>
          <w:szCs w:val="32"/>
          <w:lang w:val="en-US" w:eastAsia="zh-CN"/>
        </w:rPr>
        <w:t>学</w:t>
      </w:r>
      <w:r>
        <w:rPr>
          <w:rFonts w:hint="eastAsia" w:ascii="仿宋" w:hAnsi="仿宋" w:eastAsia="仿宋" w:cs="仿宋"/>
          <w:sz w:val="32"/>
          <w:szCs w:val="32"/>
        </w:rPr>
        <w:t>考</w:t>
      </w:r>
      <w:r>
        <w:rPr>
          <w:rFonts w:hint="eastAsia" w:ascii="仿宋" w:hAnsi="仿宋" w:eastAsia="仿宋" w:cs="仿宋"/>
          <w:color w:val="auto"/>
          <w:sz w:val="32"/>
          <w:szCs w:val="32"/>
        </w:rPr>
        <w:t>考务指挥工作群》报市教育</w:t>
      </w:r>
      <w:r>
        <w:rPr>
          <w:rFonts w:hint="eastAsia" w:ascii="仿宋" w:hAnsi="仿宋" w:eastAsia="仿宋" w:cs="仿宋"/>
          <w:sz w:val="32"/>
          <w:szCs w:val="32"/>
        </w:rPr>
        <w:t>考试院。试听时，市派巡视员必须在场。</w:t>
      </w:r>
    </w:p>
    <w:p>
      <w:pPr>
        <w:keepNext w:val="0"/>
        <w:keepLines w:val="0"/>
        <w:pageBreakBefore w:val="0"/>
        <w:widowControl w:val="0"/>
        <w:kinsoku/>
        <w:wordWrap/>
        <w:overflowPunct/>
        <w:topLinePunct w:val="0"/>
        <w:bidi w:val="0"/>
        <w:snapToGrid/>
        <w:spacing w:line="580" w:lineRule="exact"/>
        <w:ind w:left="105" w:leftChars="50" w:right="105" w:rightChars="50" w:firstLine="584" w:firstLineChars="200"/>
        <w:textAlignment w:val="auto"/>
        <w:outlineLvl w:val="9"/>
        <w:rPr>
          <w:rFonts w:hint="eastAsia" w:ascii="仿宋" w:hAnsi="仿宋" w:eastAsia="仿宋" w:cs="仿宋"/>
          <w:sz w:val="32"/>
          <w:szCs w:val="32"/>
        </w:rPr>
      </w:pPr>
      <w:r>
        <w:rPr>
          <w:rFonts w:hint="eastAsia" w:ascii="仿宋" w:hAnsi="仿宋" w:eastAsia="仿宋" w:cs="仿宋"/>
          <w:spacing w:val="-14"/>
          <w:sz w:val="32"/>
          <w:szCs w:val="32"/>
        </w:rPr>
        <w:t xml:space="preserve"> 四、各考点应制定</w:t>
      </w:r>
      <w:r>
        <w:rPr>
          <w:rFonts w:hint="eastAsia" w:ascii="仿宋" w:hAnsi="仿宋" w:eastAsia="仿宋" w:cs="仿宋"/>
          <w:spacing w:val="-14"/>
          <w:sz w:val="32"/>
          <w:szCs w:val="32"/>
          <w:lang w:val="en-US" w:eastAsia="zh-CN"/>
        </w:rPr>
        <w:t>学</w:t>
      </w:r>
      <w:r>
        <w:rPr>
          <w:rFonts w:hint="eastAsia" w:ascii="仿宋" w:hAnsi="仿宋" w:eastAsia="仿宋" w:cs="仿宋"/>
          <w:spacing w:val="-14"/>
          <w:sz w:val="32"/>
          <w:szCs w:val="32"/>
        </w:rPr>
        <w:t>考外语听力考试的应急预案。应急预案的纸质稿加盖校章于</w:t>
      </w:r>
      <w:r>
        <w:rPr>
          <w:rFonts w:hint="eastAsia" w:ascii="仿宋" w:hAnsi="仿宋" w:eastAsia="仿宋" w:cs="仿宋"/>
          <w:spacing w:val="-14"/>
          <w:sz w:val="32"/>
          <w:szCs w:val="32"/>
          <w:lang w:val="en-US" w:eastAsia="zh-CN"/>
        </w:rPr>
        <w:t>6</w:t>
      </w:r>
      <w:r>
        <w:rPr>
          <w:rFonts w:hint="eastAsia" w:ascii="仿宋" w:hAnsi="仿宋" w:eastAsia="仿宋" w:cs="仿宋"/>
          <w:spacing w:val="-14"/>
          <w:sz w:val="32"/>
          <w:szCs w:val="32"/>
        </w:rPr>
        <w:t>月16日交市</w:t>
      </w:r>
      <w:r>
        <w:rPr>
          <w:rFonts w:hint="eastAsia" w:ascii="仿宋" w:hAnsi="仿宋" w:eastAsia="仿宋" w:cs="仿宋"/>
          <w:sz w:val="32"/>
          <w:szCs w:val="32"/>
        </w:rPr>
        <w:t>派巡视员带回市教育考试院。</w:t>
      </w:r>
    </w:p>
    <w:p>
      <w:pPr>
        <w:keepNext w:val="0"/>
        <w:keepLines w:val="0"/>
        <w:pageBreakBefore w:val="0"/>
        <w:widowControl w:val="0"/>
        <w:kinsoku/>
        <w:wordWrap/>
        <w:overflowPunct/>
        <w:topLinePunct w:val="0"/>
        <w:bidi w:val="0"/>
        <w:snapToGrid/>
        <w:spacing w:line="580" w:lineRule="exact"/>
        <w:ind w:left="105" w:leftChars="50" w:right="105" w:rightChars="50" w:firstLine="584" w:firstLineChars="200"/>
        <w:textAlignment w:val="auto"/>
        <w:outlineLvl w:val="9"/>
        <w:rPr>
          <w:rFonts w:hint="eastAsia" w:ascii="仿宋" w:hAnsi="仿宋" w:eastAsia="仿宋" w:cs="仿宋"/>
          <w:spacing w:val="-14"/>
          <w:sz w:val="32"/>
          <w:szCs w:val="32"/>
        </w:rPr>
      </w:pPr>
    </w:p>
    <w:p>
      <w:pPr>
        <w:keepNext w:val="0"/>
        <w:keepLines w:val="0"/>
        <w:pageBreakBefore w:val="0"/>
        <w:widowControl w:val="0"/>
        <w:kinsoku/>
        <w:wordWrap/>
        <w:overflowPunct/>
        <w:topLinePunct w:val="0"/>
        <w:bidi w:val="0"/>
        <w:snapToGrid/>
        <w:spacing w:line="580" w:lineRule="exact"/>
        <w:ind w:left="147" w:leftChars="70" w:firstLine="438" w:firstLineChars="150"/>
        <w:textAlignment w:val="auto"/>
        <w:rPr>
          <w:rFonts w:hint="eastAsia" w:ascii="仿宋" w:hAnsi="仿宋" w:eastAsia="仿宋" w:cs="仿宋"/>
          <w:sz w:val="32"/>
          <w:szCs w:val="32"/>
        </w:rPr>
      </w:pPr>
      <w:r>
        <w:rPr>
          <w:rFonts w:hint="eastAsia" w:ascii="仿宋" w:hAnsi="仿宋" w:eastAsia="仿宋" w:cs="仿宋"/>
          <w:spacing w:val="-14"/>
          <w:sz w:val="32"/>
          <w:szCs w:val="32"/>
        </w:rPr>
        <w:t>附件：</w:t>
      </w:r>
      <w:r>
        <w:rPr>
          <w:rFonts w:hint="eastAsia" w:ascii="仿宋" w:hAnsi="仿宋" w:eastAsia="仿宋" w:cs="仿宋"/>
          <w:sz w:val="32"/>
          <w:szCs w:val="32"/>
        </w:rPr>
        <w:t>南昌市20</w:t>
      </w:r>
      <w:r>
        <w:rPr>
          <w:rFonts w:hint="eastAsia" w:ascii="仿宋" w:hAnsi="仿宋" w:eastAsia="仿宋" w:cs="仿宋"/>
          <w:sz w:val="32"/>
          <w:szCs w:val="32"/>
          <w:lang w:val="en-US" w:eastAsia="zh-CN"/>
        </w:rPr>
        <w:t>21</w:t>
      </w:r>
      <w:r>
        <w:rPr>
          <w:rFonts w:hint="eastAsia" w:ascii="仿宋" w:hAnsi="仿宋" w:eastAsia="仿宋" w:cs="仿宋"/>
          <w:sz w:val="32"/>
          <w:szCs w:val="32"/>
        </w:rPr>
        <w:t>年</w:t>
      </w:r>
      <w:r>
        <w:rPr>
          <w:rFonts w:hint="eastAsia" w:ascii="仿宋" w:hAnsi="仿宋" w:eastAsia="仿宋" w:cs="仿宋"/>
          <w:sz w:val="32"/>
          <w:szCs w:val="32"/>
          <w:lang w:val="en-US" w:eastAsia="zh-CN"/>
        </w:rPr>
        <w:t>初中学业水平</w:t>
      </w:r>
      <w:r>
        <w:rPr>
          <w:rFonts w:hint="eastAsia" w:ascii="仿宋" w:hAnsi="仿宋" w:eastAsia="仿宋" w:cs="仿宋"/>
          <w:sz w:val="32"/>
          <w:szCs w:val="32"/>
        </w:rPr>
        <w:t>考试外语听力设备</w:t>
      </w:r>
    </w:p>
    <w:p>
      <w:pPr>
        <w:keepNext w:val="0"/>
        <w:keepLines w:val="0"/>
        <w:pageBreakBefore w:val="0"/>
        <w:widowControl w:val="0"/>
        <w:kinsoku/>
        <w:wordWrap/>
        <w:overflowPunct/>
        <w:topLinePunct w:val="0"/>
        <w:bidi w:val="0"/>
        <w:snapToGrid/>
        <w:spacing w:line="580" w:lineRule="exact"/>
        <w:textAlignment w:val="auto"/>
        <w:rPr>
          <w:rFonts w:hint="eastAsia" w:ascii="仿宋" w:hAnsi="仿宋" w:eastAsia="仿宋" w:cs="仿宋"/>
          <w:spacing w:val="-14"/>
          <w:sz w:val="32"/>
          <w:szCs w:val="32"/>
        </w:rPr>
      </w:pPr>
      <w:r>
        <w:rPr>
          <w:rFonts w:hint="eastAsia" w:ascii="仿宋" w:hAnsi="仿宋" w:eastAsia="仿宋" w:cs="仿宋"/>
          <w:sz w:val="32"/>
          <w:szCs w:val="32"/>
        </w:rPr>
        <w:t>检测复查情况登记表</w:t>
      </w:r>
    </w:p>
    <w:p>
      <w:pPr>
        <w:keepNext w:val="0"/>
        <w:keepLines w:val="0"/>
        <w:pageBreakBefore w:val="0"/>
        <w:widowControl w:val="0"/>
        <w:kinsoku/>
        <w:wordWrap/>
        <w:overflowPunct/>
        <w:topLinePunct w:val="0"/>
        <w:bidi w:val="0"/>
        <w:snapToGrid/>
        <w:spacing w:line="580" w:lineRule="exact"/>
        <w:textAlignment w:val="auto"/>
        <w:rPr>
          <w:rFonts w:hint="eastAsia" w:ascii="仿宋" w:hAnsi="仿宋" w:eastAsia="仿宋" w:cs="仿宋"/>
          <w:spacing w:val="-14"/>
          <w:sz w:val="32"/>
          <w:szCs w:val="32"/>
        </w:rPr>
      </w:pPr>
    </w:p>
    <w:p>
      <w:pPr>
        <w:rPr>
          <w:rFonts w:hint="eastAsia" w:ascii="仿宋" w:hAnsi="仿宋" w:eastAsia="仿宋" w:cs="仿宋"/>
          <w:spacing w:val="-14"/>
          <w:sz w:val="32"/>
          <w:szCs w:val="32"/>
        </w:rPr>
      </w:pPr>
    </w:p>
    <w:p>
      <w:pPr>
        <w:ind w:firstLine="5256" w:firstLineChars="1800"/>
        <w:rPr>
          <w:rFonts w:hint="eastAsia" w:ascii="仿宋" w:hAnsi="仿宋" w:eastAsia="仿宋" w:cs="仿宋"/>
          <w:spacing w:val="-14"/>
          <w:sz w:val="32"/>
          <w:szCs w:val="32"/>
          <w:lang w:val="en-US" w:eastAsia="zh-CN"/>
        </w:rPr>
      </w:pPr>
      <w:r>
        <w:rPr>
          <w:rFonts w:hint="eastAsia" w:ascii="仿宋" w:hAnsi="仿宋" w:eastAsia="仿宋" w:cs="仿宋"/>
          <w:spacing w:val="-14"/>
          <w:sz w:val="32"/>
          <w:szCs w:val="32"/>
        </w:rPr>
        <w:t>南昌市教育考试院</w:t>
      </w:r>
      <w:r>
        <w:rPr>
          <w:rFonts w:hint="eastAsia" w:ascii="仿宋" w:hAnsi="仿宋" w:eastAsia="仿宋" w:cs="仿宋"/>
          <w:spacing w:val="-14"/>
          <w:sz w:val="32"/>
          <w:szCs w:val="32"/>
          <w:lang w:val="en-US" w:eastAsia="zh-CN"/>
        </w:rPr>
        <w:t xml:space="preserve"> </w:t>
      </w:r>
    </w:p>
    <w:p>
      <w:pPr>
        <w:rPr>
          <w:rFonts w:hint="eastAsia" w:ascii="仿宋" w:hAnsi="仿宋" w:eastAsia="仿宋" w:cs="仿宋"/>
          <w:spacing w:val="-14"/>
          <w:sz w:val="32"/>
          <w:szCs w:val="32"/>
        </w:rPr>
      </w:pPr>
      <w:r>
        <w:rPr>
          <w:rFonts w:hint="eastAsia" w:ascii="仿宋" w:hAnsi="仿宋" w:eastAsia="仿宋" w:cs="仿宋"/>
          <w:spacing w:val="-14"/>
          <w:sz w:val="32"/>
          <w:szCs w:val="32"/>
        </w:rPr>
        <w:t xml:space="preserve">                                         20</w:t>
      </w:r>
      <w:r>
        <w:rPr>
          <w:rFonts w:hint="eastAsia" w:ascii="仿宋" w:hAnsi="仿宋" w:eastAsia="仿宋" w:cs="仿宋"/>
          <w:spacing w:val="-14"/>
          <w:sz w:val="32"/>
          <w:szCs w:val="32"/>
          <w:lang w:val="en-US" w:eastAsia="zh-CN"/>
        </w:rPr>
        <w:t>21</w:t>
      </w:r>
      <w:r>
        <w:rPr>
          <w:rFonts w:hint="eastAsia" w:ascii="仿宋" w:hAnsi="仿宋" w:eastAsia="仿宋" w:cs="仿宋"/>
          <w:spacing w:val="-14"/>
          <w:sz w:val="32"/>
          <w:szCs w:val="32"/>
        </w:rPr>
        <w:t>年</w:t>
      </w:r>
      <w:r>
        <w:rPr>
          <w:rFonts w:hint="eastAsia" w:ascii="仿宋" w:hAnsi="仿宋" w:eastAsia="仿宋" w:cs="仿宋"/>
          <w:spacing w:val="-14"/>
          <w:sz w:val="32"/>
          <w:szCs w:val="32"/>
          <w:lang w:val="en-US" w:eastAsia="zh-CN"/>
        </w:rPr>
        <w:t>6</w:t>
      </w:r>
      <w:r>
        <w:rPr>
          <w:rFonts w:hint="eastAsia" w:ascii="仿宋" w:hAnsi="仿宋" w:eastAsia="仿宋" w:cs="仿宋"/>
          <w:spacing w:val="-14"/>
          <w:sz w:val="32"/>
          <w:szCs w:val="32"/>
        </w:rPr>
        <w:t>月</w:t>
      </w:r>
      <w:r>
        <w:rPr>
          <w:rFonts w:hint="eastAsia" w:ascii="仿宋" w:hAnsi="仿宋" w:eastAsia="仿宋" w:cs="仿宋"/>
          <w:spacing w:val="-14"/>
          <w:sz w:val="32"/>
          <w:szCs w:val="32"/>
          <w:lang w:val="en-US" w:eastAsia="zh-CN"/>
        </w:rPr>
        <w:t>7</w:t>
      </w:r>
      <w:r>
        <w:rPr>
          <w:rFonts w:hint="eastAsia" w:ascii="仿宋" w:hAnsi="仿宋" w:eastAsia="仿宋" w:cs="仿宋"/>
          <w:spacing w:val="-14"/>
          <w:sz w:val="32"/>
          <w:szCs w:val="32"/>
        </w:rPr>
        <w:t>日</w:t>
      </w:r>
    </w:p>
    <w:p>
      <w:pPr>
        <w:spacing w:line="440" w:lineRule="exact"/>
        <w:jc w:val="both"/>
        <w:rPr>
          <w:rFonts w:hint="eastAsia" w:ascii="仿宋" w:hAnsi="仿宋" w:eastAsia="仿宋" w:cs="仿宋"/>
          <w:spacing w:val="-28"/>
          <w:sz w:val="28"/>
          <w:szCs w:val="28"/>
        </w:rPr>
      </w:pPr>
    </w:p>
    <w:p>
      <w:pPr>
        <w:spacing w:line="440" w:lineRule="exact"/>
        <w:jc w:val="both"/>
        <w:rPr>
          <w:rFonts w:hint="eastAsia" w:ascii="仿宋" w:hAnsi="仿宋" w:eastAsia="仿宋" w:cs="仿宋"/>
          <w:spacing w:val="-28"/>
          <w:sz w:val="28"/>
          <w:szCs w:val="28"/>
        </w:rPr>
      </w:pPr>
    </w:p>
    <w:p>
      <w:pPr>
        <w:spacing w:line="440" w:lineRule="exact"/>
        <w:jc w:val="both"/>
        <w:rPr>
          <w:rFonts w:hint="eastAsia" w:ascii="仿宋" w:hAnsi="仿宋" w:eastAsia="仿宋" w:cs="仿宋"/>
          <w:spacing w:val="-28"/>
          <w:sz w:val="28"/>
          <w:szCs w:val="28"/>
        </w:rPr>
      </w:pPr>
    </w:p>
    <w:p>
      <w:pPr>
        <w:spacing w:line="440" w:lineRule="exact"/>
        <w:jc w:val="center"/>
        <w:rPr>
          <w:rFonts w:ascii="仿宋" w:hAnsi="仿宋" w:eastAsia="仿宋" w:cs="仿宋"/>
          <w:spacing w:val="-28"/>
          <w:sz w:val="28"/>
          <w:szCs w:val="28"/>
        </w:rPr>
      </w:pPr>
      <w: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337185</wp:posOffset>
                </wp:positionV>
                <wp:extent cx="5257800" cy="0"/>
                <wp:effectExtent l="0" t="0" r="0" b="0"/>
                <wp:wrapNone/>
                <wp:docPr id="1" name="Line 17"/>
                <wp:cNvGraphicFramePr/>
                <a:graphic xmlns:a="http://schemas.openxmlformats.org/drawingml/2006/main">
                  <a:graphicData uri="http://schemas.microsoft.com/office/word/2010/wordprocessingShape">
                    <wps:wsp>
                      <wps:cNvCnPr/>
                      <wps:spPr>
                        <a:xfrm>
                          <a:off x="0" y="0"/>
                          <a:ext cx="5257800" cy="0"/>
                        </a:xfrm>
                        <a:prstGeom prst="line">
                          <a:avLst/>
                        </a:prstGeom>
                        <a:ln w="4445" cap="flat" cmpd="sng">
                          <a:solidFill>
                            <a:srgbClr val="000000"/>
                          </a:solidFill>
                          <a:prstDash val="solid"/>
                          <a:headEnd type="none" w="med" len="med"/>
                          <a:tailEnd type="none" w="med" len="med"/>
                        </a:ln>
                      </wps:spPr>
                      <wps:bodyPr upright="1"/>
                    </wps:wsp>
                  </a:graphicData>
                </a:graphic>
              </wp:anchor>
            </w:drawing>
          </mc:Choice>
          <mc:Fallback>
            <w:pict>
              <v:line id="Line 17" o:spid="_x0000_s1026" o:spt="20" style="position:absolute;left:0pt;margin-left:0pt;margin-top:26.55pt;height:0pt;width:414pt;z-index:251660288;mso-width-relative:page;mso-height-relative:page;" filled="f" stroked="t" coordsize="21600,21600" o:gfxdata="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2rND1QAAAAYBAAAPAAAAAAAA&#10;AAEAIAAAACIAAABkcnMvZG93bnJldi54bWxQSwECFAAUAAAACACHTuJAkL6FZdwBAADaAwAADgAA&#10;AAAAAAABACAAAAAkAQAAZHJzL2Uyb0RvYy54bWxQSwUGAAAAAAYABgBZAQAAcgUAAAAA&#10;">
                <v:fill on="f" focussize="0,0"/>
                <v:stroke weight="0.35pt" color="#000000" joinstyle="round"/>
                <v:imagedata o:title=""/>
                <o:lock v:ext="edit" aspectratio="f"/>
              </v:line>
            </w:pict>
          </mc:Fallback>
        </mc:AlternateContent>
      </w:r>
      <w:r>
        <w:rPr>
          <w:rFonts w:hint="eastAsia" w:ascii="仿宋" w:hAnsi="仿宋" w:eastAsia="仿宋" w:cs="仿宋"/>
          <w:spacing w:val="-28"/>
          <w:sz w:val="28"/>
          <w:szCs w:val="28"/>
        </w:rPr>
        <w:t xml:space="preserve">        </w:t>
      </w:r>
    </w:p>
    <w:p>
      <w:pPr>
        <w:jc w:val="left"/>
        <w:rPr>
          <w:rFonts w:hint="eastAsia" w:ascii="仿宋" w:hAnsi="仿宋" w:eastAsia="仿宋" w:cs="黑体"/>
          <w:b w:val="0"/>
          <w:bCs w:val="0"/>
          <w:sz w:val="32"/>
          <w:szCs w:val="32"/>
        </w:rPr>
      </w:pPr>
      <w:r>
        <w:rPr>
          <w:rFonts w:hint="eastAsia" w:ascii="仿宋" w:hAnsi="仿宋" w:eastAsia="仿宋"/>
          <w:b w:val="0"/>
          <w:bCs w:val="0"/>
          <w:color w:val="auto"/>
          <w:szCs w:val="24"/>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414020</wp:posOffset>
                </wp:positionV>
                <wp:extent cx="5257800" cy="24765"/>
                <wp:effectExtent l="0" t="4445" r="0" b="8890"/>
                <wp:wrapNone/>
                <wp:docPr id="2" name="Line 16"/>
                <wp:cNvGraphicFramePr/>
                <a:graphic xmlns:a="http://schemas.openxmlformats.org/drawingml/2006/main">
                  <a:graphicData uri="http://schemas.microsoft.com/office/word/2010/wordprocessingShape">
                    <wps:wsp>
                      <wps:cNvCnPr/>
                      <wps:spPr>
                        <a:xfrm flipV="1">
                          <a:off x="0" y="0"/>
                          <a:ext cx="5257800" cy="24765"/>
                        </a:xfrm>
                        <a:prstGeom prst="line">
                          <a:avLst/>
                        </a:prstGeom>
                        <a:ln w="4445" cap="flat" cmpd="sng">
                          <a:solidFill>
                            <a:srgbClr val="000000"/>
                          </a:solidFill>
                          <a:prstDash val="solid"/>
                          <a:headEnd type="none" w="med" len="med"/>
                          <a:tailEnd type="none" w="med" len="med"/>
                        </a:ln>
                      </wps:spPr>
                      <wps:bodyPr upright="1"/>
                    </wps:wsp>
                  </a:graphicData>
                </a:graphic>
              </wp:anchor>
            </w:drawing>
          </mc:Choice>
          <mc:Fallback>
            <w:pict>
              <v:line id="Line 16" o:spid="_x0000_s1026" o:spt="20" style="position:absolute;left:0pt;flip:y;margin-left:0pt;margin-top:32.6pt;height:1.95pt;width:414pt;z-index:251659264;mso-width-relative:page;mso-height-relative:page;" filled="f" stroked="t" coordsize="21600,21600" o:gfxdata="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1OPDuNMAAAAGAQAA&#10;DwAAAAAAAAABACAAAAAiAAAAZHJzL2Rvd25yZXYueG1sUEsBAhQAFAAAAAgAh07iQLt+f0/lAQAA&#10;6AMAAA4AAAAAAAAAAQAgAAAAIgEAAGRycy9lMm9Eb2MueG1sUEsFBgAAAAAGAAYAWQEAAHkFAAAA&#10;AA==&#10;">
                <v:fill on="f" focussize="0,0"/>
                <v:stroke weight="0.35pt" color="#000000" joinstyle="round"/>
                <v:imagedata o:title=""/>
                <o:lock v:ext="edit" aspectratio="f"/>
              </v:line>
            </w:pict>
          </mc:Fallback>
        </mc:AlternateContent>
      </w:r>
      <w:r>
        <w:rPr>
          <w:rFonts w:hint="eastAsia" w:ascii="仿宋" w:hAnsi="仿宋" w:eastAsia="仿宋"/>
          <w:b w:val="0"/>
          <w:bCs w:val="0"/>
          <w:color w:val="auto"/>
          <w:sz w:val="28"/>
          <w:szCs w:val="28"/>
        </w:rPr>
        <w:t xml:space="preserve">南昌市教育考试院办公室   </w:t>
      </w:r>
      <w:r>
        <w:rPr>
          <w:rFonts w:hint="eastAsia" w:ascii="仿宋" w:hAnsi="仿宋" w:eastAsia="仿宋"/>
          <w:b w:val="0"/>
          <w:bCs w:val="0"/>
          <w:sz w:val="28"/>
          <w:szCs w:val="28"/>
        </w:rPr>
        <w:t xml:space="preserve">                 </w:t>
      </w:r>
      <w:r>
        <w:rPr>
          <w:rFonts w:hint="eastAsia" w:ascii="仿宋" w:hAnsi="仿宋" w:eastAsia="仿宋"/>
          <w:b w:val="0"/>
          <w:bCs w:val="0"/>
          <w:spacing w:val="-28"/>
          <w:sz w:val="28"/>
          <w:szCs w:val="28"/>
        </w:rPr>
        <w:t>20</w:t>
      </w:r>
      <w:r>
        <w:rPr>
          <w:rFonts w:hint="eastAsia" w:ascii="仿宋" w:hAnsi="仿宋" w:eastAsia="仿宋"/>
          <w:b w:val="0"/>
          <w:bCs w:val="0"/>
          <w:spacing w:val="-28"/>
          <w:sz w:val="28"/>
          <w:szCs w:val="28"/>
          <w:lang w:val="en-US" w:eastAsia="zh-CN"/>
        </w:rPr>
        <w:t>21</w:t>
      </w:r>
      <w:r>
        <w:rPr>
          <w:rFonts w:hint="eastAsia" w:ascii="仿宋" w:hAnsi="仿宋" w:eastAsia="仿宋"/>
          <w:b w:val="0"/>
          <w:bCs w:val="0"/>
          <w:spacing w:val="-8"/>
          <w:sz w:val="28"/>
          <w:szCs w:val="28"/>
        </w:rPr>
        <w:t>年</w:t>
      </w:r>
      <w:r>
        <w:rPr>
          <w:rFonts w:hint="eastAsia" w:ascii="仿宋" w:hAnsi="仿宋" w:eastAsia="仿宋"/>
          <w:b w:val="0"/>
          <w:bCs w:val="0"/>
          <w:spacing w:val="-8"/>
          <w:sz w:val="28"/>
          <w:szCs w:val="28"/>
          <w:lang w:val="en-US" w:eastAsia="zh-CN"/>
        </w:rPr>
        <w:t>6</w:t>
      </w:r>
      <w:r>
        <w:rPr>
          <w:rFonts w:hint="eastAsia" w:ascii="仿宋" w:hAnsi="仿宋" w:eastAsia="仿宋"/>
          <w:b w:val="0"/>
          <w:bCs w:val="0"/>
          <w:spacing w:val="-8"/>
          <w:sz w:val="28"/>
          <w:szCs w:val="28"/>
        </w:rPr>
        <w:t>月</w:t>
      </w:r>
      <w:r>
        <w:rPr>
          <w:rFonts w:hint="eastAsia" w:ascii="仿宋" w:hAnsi="仿宋" w:eastAsia="仿宋"/>
          <w:b w:val="0"/>
          <w:bCs w:val="0"/>
          <w:spacing w:val="-8"/>
          <w:sz w:val="28"/>
          <w:szCs w:val="28"/>
          <w:lang w:val="en-US" w:eastAsia="zh-CN"/>
        </w:rPr>
        <w:t>7</w:t>
      </w:r>
      <w:r>
        <w:rPr>
          <w:rFonts w:hint="eastAsia" w:ascii="仿宋" w:hAnsi="仿宋" w:eastAsia="仿宋"/>
          <w:b w:val="0"/>
          <w:bCs w:val="0"/>
          <w:spacing w:val="-8"/>
          <w:sz w:val="28"/>
          <w:szCs w:val="28"/>
        </w:rPr>
        <w:t>日印发</w:t>
      </w:r>
    </w:p>
    <w:p>
      <w:pPr>
        <w:jc w:val="left"/>
        <w:rPr>
          <w:rFonts w:hint="eastAsia" w:ascii="仿宋" w:hAnsi="仿宋" w:eastAsia="仿宋" w:cs="黑体"/>
          <w:sz w:val="32"/>
          <w:szCs w:val="32"/>
        </w:rPr>
      </w:pPr>
    </w:p>
    <w:p>
      <w:pPr>
        <w:jc w:val="left"/>
        <w:rPr>
          <w:rFonts w:hint="eastAsia" w:ascii="仿宋" w:hAnsi="仿宋" w:eastAsia="仿宋" w:cs="仿宋"/>
          <w:sz w:val="30"/>
          <w:szCs w:val="30"/>
        </w:rPr>
      </w:pPr>
      <w:r>
        <w:rPr>
          <w:rFonts w:hint="eastAsia" w:ascii="仿宋" w:hAnsi="仿宋" w:eastAsia="仿宋" w:cs="黑体"/>
          <w:sz w:val="32"/>
          <w:szCs w:val="32"/>
        </w:rPr>
        <w:t>附件：</w:t>
      </w:r>
    </w:p>
    <w:tbl>
      <w:tblPr>
        <w:tblStyle w:val="5"/>
        <w:tblW w:w="9197" w:type="dxa"/>
        <w:jc w:val="center"/>
        <w:tblLayout w:type="fixed"/>
        <w:tblCellMar>
          <w:top w:w="0" w:type="dxa"/>
          <w:left w:w="108" w:type="dxa"/>
          <w:bottom w:w="0" w:type="dxa"/>
          <w:right w:w="108" w:type="dxa"/>
        </w:tblCellMar>
      </w:tblPr>
      <w:tblGrid>
        <w:gridCol w:w="697"/>
        <w:gridCol w:w="1039"/>
        <w:gridCol w:w="1083"/>
        <w:gridCol w:w="98"/>
        <w:gridCol w:w="1387"/>
        <w:gridCol w:w="1179"/>
        <w:gridCol w:w="441"/>
        <w:gridCol w:w="846"/>
        <w:gridCol w:w="807"/>
        <w:gridCol w:w="66"/>
        <w:gridCol w:w="1554"/>
      </w:tblGrid>
      <w:tr>
        <w:tblPrEx>
          <w:tblCellMar>
            <w:top w:w="0" w:type="dxa"/>
            <w:left w:w="108" w:type="dxa"/>
            <w:bottom w:w="0" w:type="dxa"/>
            <w:right w:w="108" w:type="dxa"/>
          </w:tblCellMar>
        </w:tblPrEx>
        <w:trPr>
          <w:trHeight w:val="504" w:hRule="atLeast"/>
          <w:jc w:val="center"/>
        </w:trPr>
        <w:tc>
          <w:tcPr>
            <w:tcW w:w="9197" w:type="dxa"/>
            <w:gridSpan w:val="11"/>
            <w:tcBorders>
              <w:top w:val="nil"/>
              <w:left w:val="nil"/>
              <w:bottom w:val="nil"/>
              <w:right w:val="nil"/>
            </w:tcBorders>
            <w:vAlign w:val="center"/>
          </w:tcPr>
          <w:p>
            <w:pPr>
              <w:widowControl/>
              <w:jc w:val="center"/>
              <w:rPr>
                <w:rFonts w:ascii="宋体" w:cs="宋体"/>
                <w:b/>
                <w:color w:val="000000"/>
                <w:kern w:val="0"/>
                <w:sz w:val="36"/>
                <w:szCs w:val="36"/>
              </w:rPr>
            </w:pPr>
            <w:r>
              <w:rPr>
                <w:rFonts w:hint="eastAsia" w:ascii="宋体" w:hAnsi="宋体" w:cs="宋体"/>
                <w:b/>
                <w:color w:val="000000"/>
                <w:kern w:val="0"/>
                <w:sz w:val="36"/>
                <w:szCs w:val="36"/>
              </w:rPr>
              <w:t>南昌市</w:t>
            </w:r>
            <w:r>
              <w:rPr>
                <w:rFonts w:ascii="宋体" w:hAnsi="宋体" w:cs="宋体"/>
                <w:b/>
                <w:color w:val="000000"/>
                <w:kern w:val="0"/>
                <w:sz w:val="36"/>
                <w:szCs w:val="36"/>
              </w:rPr>
              <w:t>20</w:t>
            </w:r>
            <w:r>
              <w:rPr>
                <w:rFonts w:hint="eastAsia" w:ascii="宋体" w:hAnsi="宋体" w:cs="宋体"/>
                <w:b/>
                <w:color w:val="000000"/>
                <w:kern w:val="0"/>
                <w:sz w:val="36"/>
                <w:szCs w:val="36"/>
                <w:lang w:val="en-US" w:eastAsia="zh-CN"/>
              </w:rPr>
              <w:t>21</w:t>
            </w:r>
            <w:r>
              <w:rPr>
                <w:rFonts w:hint="eastAsia" w:ascii="宋体" w:hAnsi="宋体" w:cs="宋体"/>
                <w:b/>
                <w:color w:val="000000"/>
                <w:kern w:val="0"/>
                <w:sz w:val="36"/>
                <w:szCs w:val="36"/>
              </w:rPr>
              <w:t>年</w:t>
            </w:r>
            <w:r>
              <w:rPr>
                <w:rFonts w:hint="eastAsia" w:ascii="宋体" w:hAnsi="宋体" w:cs="宋体"/>
                <w:b/>
                <w:color w:val="000000"/>
                <w:kern w:val="0"/>
                <w:sz w:val="36"/>
                <w:szCs w:val="36"/>
                <w:lang w:val="en-US" w:eastAsia="zh-CN"/>
              </w:rPr>
              <w:t>初中学业水平</w:t>
            </w:r>
            <w:r>
              <w:rPr>
                <w:rFonts w:hint="eastAsia" w:ascii="宋体" w:hAnsi="宋体" w:cs="宋体"/>
                <w:b/>
                <w:color w:val="000000"/>
                <w:kern w:val="0"/>
                <w:sz w:val="36"/>
                <w:szCs w:val="36"/>
              </w:rPr>
              <w:t>考试外语听力设备</w:t>
            </w:r>
          </w:p>
        </w:tc>
      </w:tr>
      <w:tr>
        <w:tblPrEx>
          <w:tblCellMar>
            <w:top w:w="0" w:type="dxa"/>
            <w:left w:w="108" w:type="dxa"/>
            <w:bottom w:w="0" w:type="dxa"/>
            <w:right w:w="108" w:type="dxa"/>
          </w:tblCellMar>
        </w:tblPrEx>
        <w:trPr>
          <w:trHeight w:val="356" w:hRule="atLeast"/>
          <w:jc w:val="center"/>
        </w:trPr>
        <w:tc>
          <w:tcPr>
            <w:tcW w:w="9197" w:type="dxa"/>
            <w:gridSpan w:val="11"/>
            <w:tcBorders>
              <w:top w:val="nil"/>
              <w:left w:val="nil"/>
              <w:bottom w:val="nil"/>
              <w:right w:val="nil"/>
            </w:tcBorders>
            <w:vAlign w:val="center"/>
          </w:tcPr>
          <w:p>
            <w:pPr>
              <w:widowControl/>
              <w:ind w:firstLine="2530" w:firstLineChars="700"/>
              <w:jc w:val="both"/>
              <w:rPr>
                <w:rFonts w:ascii="宋体" w:cs="宋体"/>
                <w:b/>
                <w:color w:val="000000"/>
                <w:kern w:val="0"/>
                <w:sz w:val="36"/>
                <w:szCs w:val="36"/>
              </w:rPr>
            </w:pPr>
            <w:r>
              <w:rPr>
                <w:rFonts w:hint="eastAsia" w:ascii="宋体" w:hAnsi="宋体" w:cs="宋体"/>
                <w:b/>
                <w:color w:val="000000"/>
                <w:kern w:val="0"/>
                <w:sz w:val="36"/>
                <w:szCs w:val="36"/>
              </w:rPr>
              <w:t>检测复查情况登记表</w:t>
            </w:r>
          </w:p>
        </w:tc>
      </w:tr>
      <w:tr>
        <w:tblPrEx>
          <w:tblCellMar>
            <w:top w:w="0" w:type="dxa"/>
            <w:left w:w="108" w:type="dxa"/>
            <w:bottom w:w="0" w:type="dxa"/>
            <w:right w:w="108" w:type="dxa"/>
          </w:tblCellMar>
        </w:tblPrEx>
        <w:trPr>
          <w:trHeight w:val="816" w:hRule="atLeast"/>
          <w:jc w:val="center"/>
        </w:trPr>
        <w:tc>
          <w:tcPr>
            <w:tcW w:w="9197" w:type="dxa"/>
            <w:gridSpan w:val="11"/>
            <w:tcBorders>
              <w:top w:val="nil"/>
              <w:left w:val="nil"/>
              <w:bottom w:val="single" w:color="auto" w:sz="8" w:space="0"/>
              <w:right w:val="nil"/>
            </w:tcBorders>
            <w:vAlign w:val="bottom"/>
          </w:tcPr>
          <w:p>
            <w:pPr>
              <w:widowControl/>
              <w:jc w:val="left"/>
              <w:rPr>
                <w:rFonts w:ascii="仿宋_GB2312" w:hAnsi="宋体" w:eastAsia="仿宋_GB2312" w:cs="宋体"/>
                <w:color w:val="000000"/>
                <w:kern w:val="0"/>
                <w:sz w:val="28"/>
                <w:szCs w:val="28"/>
                <w:u w:val="single"/>
              </w:rPr>
            </w:pPr>
            <w:r>
              <w:rPr>
                <w:rFonts w:hint="eastAsia" w:ascii="仿宋_GB2312" w:hAnsi="宋体" w:eastAsia="仿宋_GB2312" w:cs="宋体"/>
                <w:color w:val="000000"/>
                <w:kern w:val="0"/>
                <w:sz w:val="28"/>
                <w:szCs w:val="28"/>
              </w:rPr>
              <w:t>县区（考区）中招办（盖章）：</w:t>
            </w:r>
            <w:r>
              <w:rPr>
                <w:rFonts w:ascii="仿宋_GB2312" w:hAnsi="宋体" w:eastAsia="仿宋_GB2312" w:cs="宋体"/>
                <w:color w:val="000000"/>
                <w:kern w:val="0"/>
                <w:sz w:val="28"/>
                <w:szCs w:val="28"/>
                <w:u w:val="single"/>
              </w:rPr>
              <w:t xml:space="preserve">                </w:t>
            </w:r>
          </w:p>
        </w:tc>
      </w:tr>
      <w:tr>
        <w:tblPrEx>
          <w:tblCellMar>
            <w:top w:w="0" w:type="dxa"/>
            <w:left w:w="108" w:type="dxa"/>
            <w:bottom w:w="0" w:type="dxa"/>
            <w:right w:w="108" w:type="dxa"/>
          </w:tblCellMar>
        </w:tblPrEx>
        <w:trPr>
          <w:trHeight w:val="390" w:hRule="atLeast"/>
          <w:jc w:val="center"/>
        </w:trPr>
        <w:tc>
          <w:tcPr>
            <w:tcW w:w="1736" w:type="dxa"/>
            <w:gridSpan w:val="2"/>
            <w:tcBorders>
              <w:top w:val="nil"/>
              <w:left w:val="single" w:color="auto" w:sz="8" w:space="0"/>
              <w:bottom w:val="single" w:color="000000" w:sz="8" w:space="0"/>
              <w:right w:val="single" w:color="000000" w:sz="8" w:space="0"/>
            </w:tcBorders>
            <w:vAlign w:val="top"/>
          </w:tcPr>
          <w:p>
            <w:pPr>
              <w:widowControl/>
              <w:jc w:val="center"/>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考点名称</w:t>
            </w:r>
          </w:p>
        </w:tc>
        <w:tc>
          <w:tcPr>
            <w:tcW w:w="3747" w:type="dxa"/>
            <w:gridSpan w:val="4"/>
            <w:tcBorders>
              <w:top w:val="single" w:color="auto" w:sz="8" w:space="0"/>
              <w:left w:val="nil"/>
              <w:bottom w:val="single" w:color="000000" w:sz="8" w:space="0"/>
              <w:right w:val="single" w:color="auto" w:sz="4" w:space="0"/>
            </w:tcBorders>
            <w:vAlign w:val="top"/>
          </w:tcPr>
          <w:p>
            <w:pPr>
              <w:widowControl/>
              <w:jc w:val="center"/>
              <w:rPr>
                <w:rFonts w:ascii="仿宋_GB2312" w:hAnsi="宋体" w:eastAsia="仿宋_GB2312" w:cs="宋体"/>
                <w:color w:val="000000"/>
                <w:kern w:val="0"/>
                <w:sz w:val="28"/>
                <w:szCs w:val="28"/>
              </w:rPr>
            </w:pPr>
          </w:p>
        </w:tc>
        <w:tc>
          <w:tcPr>
            <w:tcW w:w="1287" w:type="dxa"/>
            <w:gridSpan w:val="2"/>
            <w:tcBorders>
              <w:top w:val="single" w:color="auto" w:sz="8" w:space="0"/>
              <w:left w:val="single" w:color="auto" w:sz="4" w:space="0"/>
              <w:bottom w:val="single" w:color="000000" w:sz="8" w:space="0"/>
              <w:right w:val="single" w:color="000000" w:sz="8" w:space="0"/>
            </w:tcBorders>
            <w:vAlign w:val="top"/>
          </w:tcPr>
          <w:p>
            <w:pPr>
              <w:jc w:val="center"/>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考场数</w:t>
            </w:r>
          </w:p>
        </w:tc>
        <w:tc>
          <w:tcPr>
            <w:tcW w:w="2427" w:type="dxa"/>
            <w:gridSpan w:val="3"/>
            <w:tcBorders>
              <w:top w:val="nil"/>
              <w:left w:val="nil"/>
              <w:bottom w:val="single" w:color="000000" w:sz="8" w:space="0"/>
              <w:right w:val="single" w:color="000000" w:sz="8" w:space="0"/>
            </w:tcBorders>
            <w:vAlign w:val="top"/>
          </w:tcPr>
          <w:p>
            <w:pPr>
              <w:widowControl/>
              <w:jc w:val="center"/>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　</w:t>
            </w:r>
          </w:p>
        </w:tc>
      </w:tr>
      <w:tr>
        <w:tblPrEx>
          <w:tblCellMar>
            <w:top w:w="0" w:type="dxa"/>
            <w:left w:w="108" w:type="dxa"/>
            <w:bottom w:w="0" w:type="dxa"/>
            <w:right w:w="108" w:type="dxa"/>
          </w:tblCellMar>
        </w:tblPrEx>
        <w:trPr>
          <w:trHeight w:val="420" w:hRule="atLeast"/>
          <w:jc w:val="center"/>
        </w:trPr>
        <w:tc>
          <w:tcPr>
            <w:tcW w:w="1736" w:type="dxa"/>
            <w:gridSpan w:val="2"/>
            <w:tcBorders>
              <w:top w:val="nil"/>
              <w:left w:val="single" w:color="auto" w:sz="8" w:space="0"/>
              <w:bottom w:val="single" w:color="000000" w:sz="8" w:space="0"/>
              <w:right w:val="single" w:color="000000" w:sz="8" w:space="0"/>
            </w:tcBorders>
            <w:vAlign w:val="top"/>
          </w:tcPr>
          <w:p>
            <w:pPr>
              <w:widowControl/>
              <w:jc w:val="center"/>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播放介质</w:t>
            </w:r>
          </w:p>
        </w:tc>
        <w:tc>
          <w:tcPr>
            <w:tcW w:w="7461" w:type="dxa"/>
            <w:gridSpan w:val="9"/>
            <w:tcBorders>
              <w:top w:val="nil"/>
              <w:left w:val="nil"/>
              <w:bottom w:val="nil"/>
              <w:right w:val="single" w:color="000000" w:sz="8" w:space="0"/>
            </w:tcBorders>
            <w:vAlign w:val="center"/>
          </w:tcPr>
          <w:p>
            <w:pPr>
              <w:widowControl/>
              <w:ind w:firstLine="1687" w:firstLineChars="600"/>
              <w:jc w:val="left"/>
              <w:rPr>
                <w:rFonts w:ascii="仿宋_GB2312" w:hAnsi="宋体" w:eastAsia="仿宋_GB2312" w:cs="宋体"/>
                <w:color w:val="000000"/>
                <w:kern w:val="0"/>
                <w:sz w:val="28"/>
                <w:szCs w:val="28"/>
              </w:rPr>
            </w:pPr>
            <w:r>
              <w:rPr>
                <w:rFonts w:hint="eastAsia" w:ascii="黑体" w:hAnsi="黑体" w:eastAsia="黑体" w:cs="黑体"/>
                <w:b/>
                <w:bCs/>
                <w:color w:val="000000"/>
                <w:kern w:val="0"/>
                <w:sz w:val="28"/>
                <w:szCs w:val="28"/>
                <w:lang w:val="en-US" w:eastAsia="zh-CN"/>
              </w:rPr>
              <w:t>今年全市统一采用</w:t>
            </w:r>
            <w:r>
              <w:rPr>
                <w:rFonts w:hint="eastAsia" w:ascii="黑体" w:hAnsi="黑体" w:eastAsia="黑体" w:cs="黑体"/>
                <w:b/>
                <w:bCs/>
                <w:color w:val="000000"/>
                <w:kern w:val="0"/>
                <w:sz w:val="28"/>
                <w:szCs w:val="28"/>
              </w:rPr>
              <w:t>CD光盘</w:t>
            </w:r>
          </w:p>
        </w:tc>
      </w:tr>
      <w:tr>
        <w:tblPrEx>
          <w:tblCellMar>
            <w:top w:w="0" w:type="dxa"/>
            <w:left w:w="108" w:type="dxa"/>
            <w:bottom w:w="0" w:type="dxa"/>
            <w:right w:w="108" w:type="dxa"/>
          </w:tblCellMar>
        </w:tblPrEx>
        <w:trPr>
          <w:trHeight w:val="1568" w:hRule="atLeast"/>
          <w:jc w:val="center"/>
        </w:trPr>
        <w:tc>
          <w:tcPr>
            <w:tcW w:w="9197" w:type="dxa"/>
            <w:gridSpan w:val="11"/>
            <w:tcBorders>
              <w:top w:val="single" w:color="000000" w:sz="8" w:space="0"/>
              <w:left w:val="single" w:color="auto" w:sz="8" w:space="0"/>
              <w:bottom w:val="single" w:color="000000" w:sz="8" w:space="0"/>
              <w:right w:val="single" w:color="000000" w:sz="8" w:space="0"/>
            </w:tcBorders>
            <w:vAlign w:val="top"/>
          </w:tcPr>
          <w:p>
            <w:pPr>
              <w:widowControl/>
              <w:jc w:val="left"/>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设备安装情况</w:t>
            </w:r>
            <w:r>
              <w:rPr>
                <w:rFonts w:ascii="仿宋_GB2312" w:hAnsi="宋体" w:eastAsia="仿宋_GB2312" w:cs="宋体"/>
                <w:color w:val="000000"/>
                <w:kern w:val="0"/>
                <w:sz w:val="28"/>
                <w:szCs w:val="28"/>
              </w:rPr>
              <w:t>(</w:t>
            </w:r>
            <w:r>
              <w:rPr>
                <w:rFonts w:hint="eastAsia" w:ascii="仿宋_GB2312" w:hAnsi="宋体" w:eastAsia="仿宋_GB2312" w:cs="宋体"/>
                <w:color w:val="000000"/>
                <w:kern w:val="0"/>
                <w:sz w:val="28"/>
                <w:szCs w:val="28"/>
              </w:rPr>
              <w:t>安装时间、设备牌名等</w:t>
            </w:r>
            <w:r>
              <w:rPr>
                <w:rFonts w:ascii="仿宋_GB2312" w:hAnsi="宋体" w:eastAsia="仿宋_GB2312" w:cs="宋体"/>
                <w:color w:val="000000"/>
                <w:kern w:val="0"/>
                <w:sz w:val="28"/>
                <w:szCs w:val="28"/>
              </w:rPr>
              <w:t>)</w:t>
            </w:r>
            <w:r>
              <w:rPr>
                <w:rFonts w:hint="eastAsia" w:ascii="仿宋_GB2312" w:hAnsi="宋体" w:eastAsia="仿宋_GB2312" w:cs="宋体"/>
                <w:color w:val="000000"/>
                <w:kern w:val="0"/>
                <w:sz w:val="28"/>
                <w:szCs w:val="28"/>
              </w:rPr>
              <w:t>：</w:t>
            </w:r>
          </w:p>
        </w:tc>
      </w:tr>
      <w:tr>
        <w:tblPrEx>
          <w:tblCellMar>
            <w:top w:w="0" w:type="dxa"/>
            <w:left w:w="108" w:type="dxa"/>
            <w:bottom w:w="0" w:type="dxa"/>
            <w:right w:w="108" w:type="dxa"/>
          </w:tblCellMar>
        </w:tblPrEx>
        <w:trPr>
          <w:trHeight w:val="521" w:hRule="atLeast"/>
          <w:jc w:val="center"/>
        </w:trPr>
        <w:tc>
          <w:tcPr>
            <w:tcW w:w="697" w:type="dxa"/>
            <w:vMerge w:val="restart"/>
            <w:tcBorders>
              <w:top w:val="single" w:color="000000" w:sz="8" w:space="0"/>
              <w:left w:val="single" w:color="auto" w:sz="8" w:space="0"/>
              <w:right w:val="single" w:color="auto" w:sz="4" w:space="0"/>
            </w:tcBorders>
            <w:vAlign w:val="center"/>
          </w:tcPr>
          <w:p>
            <w:pPr>
              <w:widowControl/>
              <w:rPr>
                <w:rFonts w:ascii="仿宋_GB2312" w:hAnsi="宋体" w:eastAsia="仿宋_GB2312" w:cs="宋体"/>
                <w:b/>
                <w:color w:val="000000"/>
                <w:kern w:val="0"/>
                <w:sz w:val="28"/>
                <w:szCs w:val="28"/>
              </w:rPr>
            </w:pPr>
          </w:p>
          <w:p>
            <w:pPr>
              <w:widowControl/>
              <w:jc w:val="center"/>
              <w:rPr>
                <w:rFonts w:hint="eastAsia"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检</w:t>
            </w:r>
          </w:p>
          <w:p>
            <w:pPr>
              <w:widowControl/>
              <w:rPr>
                <w:rFonts w:hint="eastAsia" w:ascii="仿宋_GB2312" w:hAnsi="宋体" w:eastAsia="仿宋_GB2312" w:cs="宋体"/>
                <w:b/>
                <w:color w:val="000000"/>
                <w:kern w:val="0"/>
                <w:sz w:val="28"/>
                <w:szCs w:val="28"/>
              </w:rPr>
            </w:pPr>
          </w:p>
          <w:p>
            <w:pPr>
              <w:widowControl/>
              <w:jc w:val="center"/>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测</w:t>
            </w:r>
          </w:p>
        </w:tc>
        <w:tc>
          <w:tcPr>
            <w:tcW w:w="8500" w:type="dxa"/>
            <w:gridSpan w:val="10"/>
            <w:tcBorders>
              <w:top w:val="single" w:color="000000" w:sz="8" w:space="0"/>
              <w:left w:val="single" w:color="auto" w:sz="4" w:space="0"/>
              <w:bottom w:val="single" w:color="000000" w:sz="8" w:space="0"/>
              <w:right w:val="single" w:color="000000" w:sz="8" w:space="0"/>
            </w:tcBorders>
            <w:vAlign w:val="top"/>
          </w:tcPr>
          <w:p>
            <w:pPr>
              <w:widowControl/>
              <w:jc w:val="left"/>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检测时间：</w:t>
            </w:r>
          </w:p>
        </w:tc>
      </w:tr>
      <w:tr>
        <w:tblPrEx>
          <w:tblCellMar>
            <w:top w:w="0" w:type="dxa"/>
            <w:left w:w="108" w:type="dxa"/>
            <w:bottom w:w="0" w:type="dxa"/>
            <w:right w:w="108" w:type="dxa"/>
          </w:tblCellMar>
        </w:tblPrEx>
        <w:trPr>
          <w:trHeight w:val="1348" w:hRule="atLeast"/>
          <w:jc w:val="center"/>
        </w:trPr>
        <w:tc>
          <w:tcPr>
            <w:tcW w:w="697" w:type="dxa"/>
            <w:vMerge w:val="continue"/>
            <w:tcBorders>
              <w:left w:val="single" w:color="auto" w:sz="8" w:space="0"/>
              <w:right w:val="single" w:color="auto" w:sz="4" w:space="0"/>
            </w:tcBorders>
            <w:vAlign w:val="top"/>
          </w:tcPr>
          <w:p>
            <w:pPr>
              <w:widowControl/>
              <w:jc w:val="left"/>
              <w:rPr>
                <w:rFonts w:ascii="仿宋_GB2312" w:hAnsi="宋体" w:eastAsia="仿宋_GB2312" w:cs="宋体"/>
                <w:color w:val="000000"/>
                <w:kern w:val="0"/>
                <w:sz w:val="28"/>
                <w:szCs w:val="28"/>
              </w:rPr>
            </w:pPr>
          </w:p>
        </w:tc>
        <w:tc>
          <w:tcPr>
            <w:tcW w:w="8500" w:type="dxa"/>
            <w:gridSpan w:val="10"/>
            <w:tcBorders>
              <w:top w:val="single" w:color="000000" w:sz="8" w:space="0"/>
              <w:left w:val="single" w:color="auto" w:sz="4" w:space="0"/>
              <w:bottom w:val="single" w:color="000000" w:sz="8" w:space="0"/>
              <w:right w:val="single" w:color="000000" w:sz="8" w:space="0"/>
            </w:tcBorders>
            <w:vAlign w:val="top"/>
          </w:tcPr>
          <w:p>
            <w:pPr>
              <w:widowControl/>
              <w:jc w:val="left"/>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逐个考场检测试听情况记载：</w:t>
            </w:r>
          </w:p>
        </w:tc>
      </w:tr>
      <w:tr>
        <w:tblPrEx>
          <w:tblCellMar>
            <w:top w:w="0" w:type="dxa"/>
            <w:left w:w="108" w:type="dxa"/>
            <w:bottom w:w="0" w:type="dxa"/>
            <w:right w:w="108" w:type="dxa"/>
          </w:tblCellMar>
        </w:tblPrEx>
        <w:trPr>
          <w:trHeight w:val="1393" w:hRule="atLeast"/>
          <w:jc w:val="center"/>
        </w:trPr>
        <w:tc>
          <w:tcPr>
            <w:tcW w:w="697" w:type="dxa"/>
            <w:vMerge w:val="continue"/>
            <w:tcBorders>
              <w:left w:val="single" w:color="auto" w:sz="8" w:space="0"/>
              <w:bottom w:val="nil"/>
              <w:right w:val="single" w:color="auto" w:sz="4" w:space="0"/>
            </w:tcBorders>
            <w:vAlign w:val="top"/>
          </w:tcPr>
          <w:p>
            <w:pPr>
              <w:widowControl/>
              <w:jc w:val="center"/>
              <w:rPr>
                <w:rFonts w:ascii="仿宋_GB2312" w:hAnsi="宋体" w:eastAsia="仿宋_GB2312" w:cs="宋体"/>
                <w:color w:val="000000"/>
                <w:kern w:val="0"/>
                <w:sz w:val="28"/>
                <w:szCs w:val="28"/>
              </w:rPr>
            </w:pPr>
          </w:p>
        </w:tc>
        <w:tc>
          <w:tcPr>
            <w:tcW w:w="2220" w:type="dxa"/>
            <w:gridSpan w:val="3"/>
            <w:tcBorders>
              <w:top w:val="single" w:color="000000" w:sz="8" w:space="0"/>
              <w:left w:val="single" w:color="auto" w:sz="4" w:space="0"/>
              <w:bottom w:val="single" w:color="000000" w:sz="8" w:space="0"/>
              <w:right w:val="single" w:color="000000" w:sz="8" w:space="0"/>
            </w:tcBorders>
            <w:vAlign w:val="top"/>
          </w:tcPr>
          <w:p>
            <w:pPr>
              <w:widowControl/>
              <w:spacing w:line="360" w:lineRule="exact"/>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县区考区（招办）主任（签名）：</w:t>
            </w:r>
          </w:p>
        </w:tc>
        <w:tc>
          <w:tcPr>
            <w:tcW w:w="1387" w:type="dxa"/>
            <w:tcBorders>
              <w:top w:val="single" w:color="000000" w:sz="8" w:space="0"/>
              <w:left w:val="single" w:color="000000" w:sz="8" w:space="0"/>
              <w:bottom w:val="single" w:color="000000" w:sz="8" w:space="0"/>
              <w:right w:val="single" w:color="000000" w:sz="8" w:space="0"/>
            </w:tcBorders>
            <w:vAlign w:val="top"/>
          </w:tcPr>
          <w:p>
            <w:pPr>
              <w:widowControl/>
              <w:spacing w:line="360" w:lineRule="exact"/>
              <w:jc w:val="center"/>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考点主考</w:t>
            </w:r>
          </w:p>
          <w:p>
            <w:pPr>
              <w:widowControl/>
              <w:spacing w:line="360" w:lineRule="exact"/>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（签名）：</w:t>
            </w:r>
          </w:p>
        </w:tc>
        <w:tc>
          <w:tcPr>
            <w:tcW w:w="1620" w:type="dxa"/>
            <w:gridSpan w:val="2"/>
            <w:tcBorders>
              <w:top w:val="nil"/>
              <w:left w:val="single" w:color="000000" w:sz="8" w:space="0"/>
              <w:bottom w:val="single" w:color="000000" w:sz="8" w:space="0"/>
              <w:right w:val="nil"/>
            </w:tcBorders>
            <w:vAlign w:val="top"/>
          </w:tcPr>
          <w:p>
            <w:pPr>
              <w:widowControl/>
              <w:spacing w:line="360" w:lineRule="exact"/>
              <w:ind w:left="-250" w:leftChars="-119" w:firstLine="249" w:firstLineChars="89"/>
              <w:jc w:val="center"/>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外语老师①</w:t>
            </w:r>
          </w:p>
          <w:p>
            <w:pPr>
              <w:widowControl/>
              <w:spacing w:line="360" w:lineRule="exact"/>
              <w:ind w:left="-250" w:leftChars="-119" w:firstLine="249" w:firstLineChars="89"/>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（签名）：</w:t>
            </w:r>
          </w:p>
        </w:tc>
        <w:tc>
          <w:tcPr>
            <w:tcW w:w="1653" w:type="dxa"/>
            <w:gridSpan w:val="2"/>
            <w:tcBorders>
              <w:top w:val="single" w:color="auto" w:sz="4" w:space="0"/>
              <w:left w:val="single" w:color="auto" w:sz="4" w:space="0"/>
              <w:bottom w:val="single" w:color="auto" w:sz="4" w:space="0"/>
              <w:right w:val="single" w:color="auto" w:sz="4" w:space="0"/>
            </w:tcBorders>
            <w:vAlign w:val="top"/>
          </w:tcPr>
          <w:p>
            <w:pPr>
              <w:widowControl/>
              <w:spacing w:line="360" w:lineRule="exact"/>
              <w:jc w:val="center"/>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外语老师②</w:t>
            </w:r>
          </w:p>
          <w:p>
            <w:pPr>
              <w:widowControl/>
              <w:spacing w:line="360" w:lineRule="exact"/>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（签名）：</w:t>
            </w:r>
          </w:p>
        </w:tc>
        <w:tc>
          <w:tcPr>
            <w:tcW w:w="1620" w:type="dxa"/>
            <w:gridSpan w:val="2"/>
            <w:tcBorders>
              <w:top w:val="nil"/>
              <w:left w:val="nil"/>
              <w:bottom w:val="single" w:color="000000" w:sz="8" w:space="0"/>
              <w:right w:val="single" w:color="000000" w:sz="8" w:space="0"/>
            </w:tcBorders>
            <w:vAlign w:val="top"/>
          </w:tcPr>
          <w:p>
            <w:pPr>
              <w:widowControl/>
              <w:spacing w:line="360" w:lineRule="exact"/>
              <w:jc w:val="center"/>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技术人员</w:t>
            </w:r>
          </w:p>
          <w:p>
            <w:pPr>
              <w:widowControl/>
              <w:spacing w:line="360" w:lineRule="exact"/>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（签名）：</w:t>
            </w:r>
          </w:p>
        </w:tc>
      </w:tr>
      <w:tr>
        <w:tblPrEx>
          <w:tblCellMar>
            <w:top w:w="0" w:type="dxa"/>
            <w:left w:w="108" w:type="dxa"/>
            <w:bottom w:w="0" w:type="dxa"/>
            <w:right w:w="108" w:type="dxa"/>
          </w:tblCellMar>
        </w:tblPrEx>
        <w:trPr>
          <w:trHeight w:val="375" w:hRule="atLeast"/>
          <w:jc w:val="center"/>
        </w:trPr>
        <w:tc>
          <w:tcPr>
            <w:tcW w:w="697" w:type="dxa"/>
            <w:vMerge w:val="restart"/>
            <w:tcBorders>
              <w:top w:val="single" w:color="000000" w:sz="8" w:space="0"/>
              <w:left w:val="single" w:color="auto" w:sz="8" w:space="0"/>
              <w:right w:val="single" w:color="auto" w:sz="4" w:space="0"/>
            </w:tcBorders>
            <w:vAlign w:val="center"/>
          </w:tcPr>
          <w:p>
            <w:pPr>
              <w:widowControl/>
              <w:jc w:val="center"/>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整</w:t>
            </w:r>
          </w:p>
          <w:p>
            <w:pPr>
              <w:widowControl/>
              <w:jc w:val="center"/>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改</w:t>
            </w:r>
          </w:p>
          <w:p>
            <w:pPr>
              <w:widowControl/>
              <w:jc w:val="center"/>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后</w:t>
            </w:r>
          </w:p>
          <w:p>
            <w:pPr>
              <w:widowControl/>
              <w:jc w:val="center"/>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复</w:t>
            </w:r>
          </w:p>
          <w:p>
            <w:pPr>
              <w:jc w:val="center"/>
              <w:rPr>
                <w:rFonts w:ascii="仿宋_GB2312" w:hAnsi="宋体" w:eastAsia="仿宋_GB2312" w:cs="宋体"/>
                <w:color w:val="000000"/>
                <w:kern w:val="0"/>
                <w:sz w:val="28"/>
                <w:szCs w:val="28"/>
                <w:u w:val="single"/>
              </w:rPr>
            </w:pPr>
            <w:r>
              <w:rPr>
                <w:rFonts w:hint="eastAsia" w:ascii="仿宋_GB2312" w:hAnsi="宋体" w:eastAsia="仿宋_GB2312" w:cs="宋体"/>
                <w:b/>
                <w:color w:val="000000"/>
                <w:kern w:val="0"/>
                <w:sz w:val="28"/>
                <w:szCs w:val="28"/>
              </w:rPr>
              <w:t>检</w:t>
            </w:r>
          </w:p>
        </w:tc>
        <w:tc>
          <w:tcPr>
            <w:tcW w:w="8500" w:type="dxa"/>
            <w:gridSpan w:val="10"/>
            <w:tcBorders>
              <w:top w:val="single" w:color="000000" w:sz="8" w:space="0"/>
              <w:left w:val="single" w:color="auto" w:sz="4" w:space="0"/>
              <w:bottom w:val="single" w:color="000000" w:sz="8" w:space="0"/>
              <w:right w:val="single" w:color="000000" w:sz="8" w:space="0"/>
            </w:tcBorders>
            <w:vAlign w:val="top"/>
          </w:tcPr>
          <w:p>
            <w:pPr>
              <w:widowControl/>
              <w:jc w:val="left"/>
              <w:rPr>
                <w:rFonts w:ascii="仿宋_GB2312" w:hAnsi="宋体" w:eastAsia="仿宋_GB2312" w:cs="宋体"/>
                <w:color w:val="000000"/>
                <w:kern w:val="0"/>
                <w:sz w:val="28"/>
                <w:szCs w:val="28"/>
                <w:u w:val="single"/>
              </w:rPr>
            </w:pPr>
            <w:r>
              <w:rPr>
                <w:rFonts w:hint="eastAsia" w:ascii="仿宋_GB2312" w:hAnsi="宋体" w:eastAsia="仿宋_GB2312" w:cs="宋体"/>
                <w:color w:val="000000"/>
                <w:kern w:val="0"/>
                <w:sz w:val="28"/>
                <w:szCs w:val="28"/>
              </w:rPr>
              <w:t>检测时间：</w:t>
            </w:r>
          </w:p>
        </w:tc>
      </w:tr>
      <w:tr>
        <w:tblPrEx>
          <w:tblCellMar>
            <w:top w:w="0" w:type="dxa"/>
            <w:left w:w="108" w:type="dxa"/>
            <w:bottom w:w="0" w:type="dxa"/>
            <w:right w:w="108" w:type="dxa"/>
          </w:tblCellMar>
        </w:tblPrEx>
        <w:trPr>
          <w:trHeight w:val="1244" w:hRule="atLeast"/>
          <w:jc w:val="center"/>
        </w:trPr>
        <w:tc>
          <w:tcPr>
            <w:tcW w:w="697" w:type="dxa"/>
            <w:vMerge w:val="continue"/>
            <w:tcBorders>
              <w:left w:val="single" w:color="auto" w:sz="8" w:space="0"/>
              <w:right w:val="single" w:color="auto" w:sz="4" w:space="0"/>
            </w:tcBorders>
            <w:vAlign w:val="top"/>
          </w:tcPr>
          <w:p>
            <w:pPr>
              <w:widowControl/>
              <w:jc w:val="left"/>
              <w:rPr>
                <w:rFonts w:ascii="仿宋_GB2312" w:hAnsi="宋体" w:eastAsia="仿宋_GB2312" w:cs="宋体"/>
                <w:color w:val="000000"/>
                <w:kern w:val="0"/>
                <w:sz w:val="28"/>
                <w:szCs w:val="28"/>
              </w:rPr>
            </w:pPr>
          </w:p>
        </w:tc>
        <w:tc>
          <w:tcPr>
            <w:tcW w:w="8500" w:type="dxa"/>
            <w:gridSpan w:val="10"/>
            <w:tcBorders>
              <w:top w:val="single" w:color="000000" w:sz="8" w:space="0"/>
              <w:left w:val="single" w:color="auto" w:sz="4" w:space="0"/>
              <w:bottom w:val="single" w:color="000000" w:sz="8" w:space="0"/>
              <w:right w:val="single" w:color="000000" w:sz="8" w:space="0"/>
            </w:tcBorders>
            <w:vAlign w:val="top"/>
          </w:tcPr>
          <w:p>
            <w:pPr>
              <w:widowControl/>
              <w:jc w:val="left"/>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逐个考场检测试听情况记载：</w:t>
            </w:r>
          </w:p>
        </w:tc>
      </w:tr>
      <w:tr>
        <w:tblPrEx>
          <w:tblCellMar>
            <w:top w:w="0" w:type="dxa"/>
            <w:left w:w="108" w:type="dxa"/>
            <w:bottom w:w="0" w:type="dxa"/>
            <w:right w:w="108" w:type="dxa"/>
          </w:tblCellMar>
        </w:tblPrEx>
        <w:trPr>
          <w:trHeight w:val="1337" w:hRule="atLeast"/>
          <w:jc w:val="center"/>
        </w:trPr>
        <w:tc>
          <w:tcPr>
            <w:tcW w:w="697" w:type="dxa"/>
            <w:vMerge w:val="continue"/>
            <w:tcBorders>
              <w:left w:val="single" w:color="auto" w:sz="8" w:space="0"/>
              <w:bottom w:val="single" w:color="auto" w:sz="4" w:space="0"/>
              <w:right w:val="single" w:color="auto" w:sz="4" w:space="0"/>
            </w:tcBorders>
            <w:vAlign w:val="top"/>
          </w:tcPr>
          <w:p>
            <w:pPr>
              <w:widowControl/>
              <w:jc w:val="center"/>
              <w:rPr>
                <w:rFonts w:ascii="仿宋_GB2312" w:hAnsi="宋体" w:eastAsia="仿宋_GB2312" w:cs="宋体"/>
                <w:color w:val="000000"/>
                <w:kern w:val="0"/>
                <w:sz w:val="28"/>
                <w:szCs w:val="28"/>
              </w:rPr>
            </w:pPr>
          </w:p>
        </w:tc>
        <w:tc>
          <w:tcPr>
            <w:tcW w:w="2122" w:type="dxa"/>
            <w:gridSpan w:val="2"/>
            <w:tcBorders>
              <w:top w:val="single" w:color="000000" w:sz="8" w:space="0"/>
              <w:left w:val="single" w:color="auto" w:sz="4" w:space="0"/>
              <w:bottom w:val="single" w:color="auto" w:sz="4" w:space="0"/>
              <w:right w:val="single" w:color="000000" w:sz="8" w:space="0"/>
            </w:tcBorders>
            <w:vAlign w:val="top"/>
          </w:tcPr>
          <w:p>
            <w:pPr>
              <w:widowControl/>
              <w:spacing w:line="360" w:lineRule="exact"/>
              <w:jc w:val="center"/>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县区考区主任</w:t>
            </w:r>
          </w:p>
          <w:p>
            <w:pPr>
              <w:widowControl/>
              <w:spacing w:line="360" w:lineRule="exact"/>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（签名）：</w:t>
            </w:r>
          </w:p>
        </w:tc>
        <w:tc>
          <w:tcPr>
            <w:tcW w:w="1485" w:type="dxa"/>
            <w:gridSpan w:val="2"/>
            <w:tcBorders>
              <w:top w:val="single" w:color="000000" w:sz="8" w:space="0"/>
              <w:left w:val="single" w:color="000000" w:sz="8" w:space="0"/>
              <w:bottom w:val="single" w:color="auto" w:sz="4" w:space="0"/>
              <w:right w:val="single" w:color="000000" w:sz="8" w:space="0"/>
            </w:tcBorders>
            <w:vAlign w:val="top"/>
          </w:tcPr>
          <w:p>
            <w:pPr>
              <w:widowControl/>
              <w:spacing w:line="360" w:lineRule="exact"/>
              <w:jc w:val="center"/>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考点主考</w:t>
            </w:r>
          </w:p>
          <w:p>
            <w:pPr>
              <w:widowControl/>
              <w:spacing w:line="360" w:lineRule="exact"/>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（签名）：</w:t>
            </w:r>
          </w:p>
        </w:tc>
        <w:tc>
          <w:tcPr>
            <w:tcW w:w="1620" w:type="dxa"/>
            <w:gridSpan w:val="2"/>
            <w:tcBorders>
              <w:top w:val="nil"/>
              <w:left w:val="single" w:color="000000" w:sz="8" w:space="0"/>
              <w:bottom w:val="single" w:color="auto" w:sz="4" w:space="0"/>
              <w:right w:val="nil"/>
            </w:tcBorders>
            <w:vAlign w:val="top"/>
          </w:tcPr>
          <w:p>
            <w:pPr>
              <w:widowControl/>
              <w:spacing w:line="360" w:lineRule="exact"/>
              <w:jc w:val="center"/>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外语老师①</w:t>
            </w:r>
          </w:p>
          <w:p>
            <w:pPr>
              <w:widowControl/>
              <w:spacing w:line="360" w:lineRule="exact"/>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（签名）：</w:t>
            </w:r>
          </w:p>
        </w:tc>
        <w:tc>
          <w:tcPr>
            <w:tcW w:w="1719" w:type="dxa"/>
            <w:gridSpan w:val="3"/>
            <w:tcBorders>
              <w:top w:val="single" w:color="auto" w:sz="4" w:space="0"/>
              <w:left w:val="single" w:color="auto" w:sz="4" w:space="0"/>
              <w:bottom w:val="single" w:color="auto" w:sz="4" w:space="0"/>
              <w:right w:val="single" w:color="auto" w:sz="4" w:space="0"/>
            </w:tcBorders>
            <w:vAlign w:val="top"/>
          </w:tcPr>
          <w:p>
            <w:pPr>
              <w:widowControl/>
              <w:spacing w:line="360" w:lineRule="exact"/>
              <w:jc w:val="center"/>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外语老师②</w:t>
            </w:r>
          </w:p>
          <w:p>
            <w:pPr>
              <w:widowControl/>
              <w:spacing w:line="360" w:lineRule="exact"/>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（签名）：</w:t>
            </w:r>
          </w:p>
        </w:tc>
        <w:tc>
          <w:tcPr>
            <w:tcW w:w="1554" w:type="dxa"/>
            <w:tcBorders>
              <w:top w:val="nil"/>
              <w:left w:val="nil"/>
              <w:bottom w:val="single" w:color="auto" w:sz="4" w:space="0"/>
              <w:right w:val="single" w:color="000000" w:sz="8" w:space="0"/>
            </w:tcBorders>
            <w:vAlign w:val="top"/>
          </w:tcPr>
          <w:p>
            <w:pPr>
              <w:widowControl/>
              <w:spacing w:line="360" w:lineRule="exact"/>
              <w:jc w:val="center"/>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技术人员</w:t>
            </w:r>
          </w:p>
          <w:p>
            <w:pPr>
              <w:widowControl/>
              <w:spacing w:line="360" w:lineRule="exact"/>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（签名）：</w:t>
            </w:r>
          </w:p>
        </w:tc>
      </w:tr>
      <w:tr>
        <w:tblPrEx>
          <w:tblCellMar>
            <w:top w:w="0" w:type="dxa"/>
            <w:left w:w="108" w:type="dxa"/>
            <w:bottom w:w="0" w:type="dxa"/>
            <w:right w:w="108" w:type="dxa"/>
          </w:tblCellMar>
        </w:tblPrEx>
        <w:trPr>
          <w:trHeight w:val="375" w:hRule="atLeast"/>
          <w:jc w:val="center"/>
        </w:trPr>
        <w:tc>
          <w:tcPr>
            <w:tcW w:w="9197" w:type="dxa"/>
            <w:gridSpan w:val="11"/>
            <w:tcBorders>
              <w:top w:val="nil"/>
              <w:left w:val="nil"/>
              <w:bottom w:val="nil"/>
              <w:right w:val="nil"/>
            </w:tcBorders>
            <w:vAlign w:val="center"/>
          </w:tcPr>
          <w:p>
            <w:pPr>
              <w:widowControl/>
              <w:jc w:val="left"/>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注：此表</w:t>
            </w:r>
            <w:r>
              <w:rPr>
                <w:rFonts w:hint="eastAsia" w:ascii="仿宋_GB2312" w:hAnsi="宋体" w:eastAsia="仿宋_GB2312" w:cs="宋体"/>
                <w:color w:val="000000"/>
                <w:kern w:val="0"/>
                <w:sz w:val="28"/>
                <w:szCs w:val="28"/>
                <w:lang w:val="en-US" w:eastAsia="zh-CN"/>
              </w:rPr>
              <w:t>填报完成后通过中招信息管理服务平台上传，纸质原件由</w:t>
            </w:r>
            <w:r>
              <w:rPr>
                <w:rFonts w:hint="eastAsia" w:ascii="仿宋_GB2312" w:hAnsi="宋体" w:eastAsia="仿宋_GB2312" w:cs="宋体"/>
                <w:color w:val="000000"/>
                <w:kern w:val="0"/>
                <w:sz w:val="28"/>
                <w:szCs w:val="28"/>
              </w:rPr>
              <w:t>县区（考区）备存。</w:t>
            </w:r>
          </w:p>
        </w:tc>
      </w:tr>
    </w:tbl>
    <w:p>
      <w:pPr>
        <w:spacing w:line="580" w:lineRule="exact"/>
        <w:ind w:right="32"/>
        <w:rPr>
          <w:rFonts w:ascii="宋体"/>
          <w:b/>
          <w:sz w:val="28"/>
          <w:u w:val="single"/>
        </w:rPr>
      </w:pPr>
    </w:p>
    <w:sectPr>
      <w:pgSz w:w="11906" w:h="16838"/>
      <w:pgMar w:top="1327" w:right="1800" w:bottom="1327" w:left="180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NotTrackMoves/>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1644"/>
    <w:rsid w:val="00001644"/>
    <w:rsid w:val="0005302C"/>
    <w:rsid w:val="000565B0"/>
    <w:rsid w:val="0016329A"/>
    <w:rsid w:val="004D01E5"/>
    <w:rsid w:val="005449F8"/>
    <w:rsid w:val="00575704"/>
    <w:rsid w:val="00615ACB"/>
    <w:rsid w:val="006A56C0"/>
    <w:rsid w:val="006E2DC5"/>
    <w:rsid w:val="00771170"/>
    <w:rsid w:val="008B1D2A"/>
    <w:rsid w:val="0093067D"/>
    <w:rsid w:val="00AB36BA"/>
    <w:rsid w:val="00C4437B"/>
    <w:rsid w:val="00CB7D99"/>
    <w:rsid w:val="00D3373F"/>
    <w:rsid w:val="00E47AEC"/>
    <w:rsid w:val="00E63C13"/>
    <w:rsid w:val="00EB3AF0"/>
    <w:rsid w:val="00EC32DF"/>
    <w:rsid w:val="00F02673"/>
    <w:rsid w:val="00F05AC3"/>
    <w:rsid w:val="04C072F8"/>
    <w:rsid w:val="0B09036A"/>
    <w:rsid w:val="0F4C50FC"/>
    <w:rsid w:val="1A213E56"/>
    <w:rsid w:val="1B527FE4"/>
    <w:rsid w:val="1C4625FF"/>
    <w:rsid w:val="1DFA1710"/>
    <w:rsid w:val="1FDE14DE"/>
    <w:rsid w:val="25934262"/>
    <w:rsid w:val="2ADA6CB0"/>
    <w:rsid w:val="2B6E3BCB"/>
    <w:rsid w:val="30005853"/>
    <w:rsid w:val="311B6EF4"/>
    <w:rsid w:val="3C213C99"/>
    <w:rsid w:val="3F383593"/>
    <w:rsid w:val="524165A9"/>
    <w:rsid w:val="57547868"/>
    <w:rsid w:val="5E954CB3"/>
    <w:rsid w:val="5FCD2F82"/>
    <w:rsid w:val="600B2906"/>
    <w:rsid w:val="6059726C"/>
    <w:rsid w:val="6DCD7CD6"/>
    <w:rsid w:val="7B0D1E41"/>
    <w:rsid w:val="7F023941"/>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8"/>
    <w:qFormat/>
    <w:uiPriority w:val="99"/>
    <w:pPr>
      <w:jc w:val="center"/>
    </w:pPr>
    <w:rPr>
      <w:rFonts w:ascii="Times New Roman" w:hAnsi="Times New Roman" w:eastAsia="黑体"/>
      <w:sz w:val="36"/>
      <w:szCs w:val="24"/>
    </w:rPr>
  </w:style>
  <w:style w:type="paragraph" w:styleId="3">
    <w:name w:val="footer"/>
    <w:basedOn w:val="1"/>
    <w:semiHidden/>
    <w:unhideWhenUsed/>
    <w:qFormat/>
    <w:uiPriority w:val="99"/>
    <w:pPr>
      <w:tabs>
        <w:tab w:val="center" w:pos="4153"/>
        <w:tab w:val="right" w:pos="8306"/>
      </w:tabs>
      <w:snapToGrid w:val="0"/>
      <w:jc w:val="left"/>
    </w:pPr>
    <w:rPr>
      <w:kern w:val="0"/>
      <w:sz w:val="18"/>
      <w:szCs w:val="18"/>
    </w:rPr>
  </w:style>
  <w:style w:type="paragraph" w:styleId="4">
    <w:name w:val="header"/>
    <w:basedOn w:val="1"/>
    <w:semiHidden/>
    <w:unhideWhenUsed/>
    <w:qFormat/>
    <w:uiPriority w:val="99"/>
    <w:pPr>
      <w:pBdr>
        <w:bottom w:val="single" w:color="auto" w:sz="6" w:space="1"/>
      </w:pBdr>
      <w:tabs>
        <w:tab w:val="center" w:pos="4153"/>
        <w:tab w:val="right" w:pos="8306"/>
      </w:tabs>
      <w:snapToGrid w:val="0"/>
      <w:jc w:val="center"/>
    </w:pPr>
    <w:rPr>
      <w:kern w:val="0"/>
      <w:sz w:val="18"/>
      <w:szCs w:val="18"/>
    </w:rPr>
  </w:style>
  <w:style w:type="character" w:styleId="7">
    <w:name w:val="page number"/>
    <w:basedOn w:val="6"/>
    <w:semiHidden/>
    <w:unhideWhenUsed/>
    <w:qFormat/>
    <w:uiPriority w:val="99"/>
    <w:rPr>
      <w:rFonts w:cs="Times New Roman"/>
    </w:rPr>
  </w:style>
  <w:style w:type="character" w:customStyle="1" w:styleId="8">
    <w:name w:val="正文文本 Char"/>
    <w:basedOn w:val="6"/>
    <w:link w:val="2"/>
    <w:qFormat/>
    <w:locked/>
    <w:uiPriority w:val="99"/>
    <w:rPr>
      <w:rFonts w:ascii="Times New Roman" w:hAnsi="Times New Roman" w:eastAsia="黑体" w:cs="Times New Roman"/>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101</Words>
  <Characters>577</Characters>
  <Lines>4</Lines>
  <Paragraphs>1</Paragraphs>
  <TotalTime>3</TotalTime>
  <ScaleCrop>false</ScaleCrop>
  <LinksUpToDate>false</LinksUpToDate>
  <CharactersWithSpaces>677</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2018-04-23T06:34:00Z</dcterms:created>
  <dc:creator>Administrator</dc:creator>
  <cp:lastModifiedBy>妞妞仔</cp:lastModifiedBy>
  <cp:lastPrinted>2021-06-08T11:40:05Z</cp:lastPrinted>
  <dcterms:modified xsi:type="dcterms:W3CDTF">2021-06-08T11:40:32Z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0C24450C287D4B319845938438FB8CA8</vt:lpwstr>
  </property>
</Properties>
</file>